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489024">
            <wp:simplePos x="0" y="0"/>
            <wp:positionH relativeFrom="page">
              <wp:posOffset>0</wp:posOffset>
            </wp:positionH>
            <wp:positionV relativeFrom="page">
              <wp:posOffset>4571</wp:posOffset>
            </wp:positionV>
            <wp:extent cx="7559675" cy="1532762"/>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532762"/>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1"/>
        </w:rPr>
      </w:pPr>
    </w:p>
    <w:p>
      <w:pPr>
        <w:pStyle w:val="Title"/>
        <w:spacing w:line="264" w:lineRule="auto"/>
      </w:pPr>
      <w:r>
        <w:rPr>
          <w:color w:val="034EA1"/>
        </w:rPr>
        <w:t>Australian Customs Notice 1997 46</w:t>
      </w:r>
    </w:p>
    <w:p>
      <w:pPr>
        <w:spacing w:before="356"/>
        <w:ind w:left="1843" w:right="1651" w:firstLine="0"/>
        <w:jc w:val="center"/>
        <w:rPr>
          <w:b/>
          <w:sz w:val="32"/>
        </w:rPr>
      </w:pPr>
      <w:r>
        <w:rPr>
          <w:b/>
          <w:sz w:val="32"/>
        </w:rPr>
        <w:t>Purchasing, licensing and inspecting machinery</w:t>
      </w:r>
    </w:p>
    <w:p>
      <w:pPr>
        <w:pStyle w:val="BodyText"/>
        <w:spacing w:before="284"/>
        <w:ind w:left="193" w:right="101"/>
      </w:pPr>
      <w:r>
        <w:rPr/>
        <w:t>The holder of a trading licence must purchase, or lease, any machinery, parts or fittings within the meaning of Division 4AB or 5AC of the Act and maintain them in good working order and within the reasonable control of any Customs officer.</w:t>
      </w:r>
    </w:p>
    <w:p>
      <w:pPr>
        <w:pStyle w:val="BodyText"/>
        <w:spacing w:before="6"/>
        <w:rPr>
          <w:sz w:val="2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3"/>
        <w:gridCol w:w="3638"/>
        <w:gridCol w:w="2096"/>
      </w:tblGrid>
      <w:tr>
        <w:trPr>
          <w:trHeight w:val="228" w:hRule="atLeast"/>
        </w:trPr>
        <w:tc>
          <w:tcPr>
            <w:tcW w:w="3383" w:type="dxa"/>
          </w:tcPr>
          <w:p>
            <w:pPr>
              <w:pStyle w:val="TableParagraph"/>
              <w:spacing w:line="208" w:lineRule="exact"/>
              <w:ind w:left="200"/>
              <w:rPr>
                <w:b/>
                <w:sz w:val="20"/>
              </w:rPr>
            </w:pPr>
            <w:r>
              <w:rPr>
                <w:b/>
                <w:color w:val="0D0D0D"/>
                <w:sz w:val="20"/>
                <w:u w:val="thick" w:color="0D0D0D"/>
              </w:rPr>
              <w:t>Class 6 or 7.</w:t>
            </w:r>
          </w:p>
        </w:tc>
        <w:tc>
          <w:tcPr>
            <w:tcW w:w="3638" w:type="dxa"/>
          </w:tcPr>
          <w:p>
            <w:pPr>
              <w:pStyle w:val="TableParagraph"/>
              <w:spacing w:line="208" w:lineRule="exact"/>
              <w:ind w:left="215"/>
              <w:rPr>
                <w:b/>
                <w:sz w:val="20"/>
              </w:rPr>
            </w:pPr>
            <w:r>
              <w:rPr>
                <w:b/>
                <w:color w:val="0D0D0D"/>
                <w:sz w:val="20"/>
                <w:u w:val="thick" w:color="0D0D0D"/>
              </w:rPr>
              <w:t>Heading or</w:t>
            </w:r>
          </w:p>
        </w:tc>
        <w:tc>
          <w:tcPr>
            <w:tcW w:w="2096" w:type="dxa"/>
          </w:tcPr>
          <w:p>
            <w:pPr>
              <w:pStyle w:val="TableParagraph"/>
              <w:spacing w:line="208" w:lineRule="exact"/>
              <w:ind w:left="265"/>
              <w:rPr>
                <w:b/>
                <w:sz w:val="20"/>
              </w:rPr>
            </w:pPr>
            <w:r>
              <w:rPr>
                <w:b/>
                <w:color w:val="0D0D0D"/>
                <w:sz w:val="20"/>
                <w:u w:val="thick" w:color="0D0D0D"/>
              </w:rPr>
              <w:t>subheading in</w:t>
            </w:r>
          </w:p>
        </w:tc>
      </w:tr>
      <w:tr>
        <w:trPr>
          <w:trHeight w:val="231" w:hRule="atLeast"/>
        </w:trPr>
        <w:tc>
          <w:tcPr>
            <w:tcW w:w="3383" w:type="dxa"/>
          </w:tcPr>
          <w:p>
            <w:pPr>
              <w:pStyle w:val="TableParagraph"/>
              <w:spacing w:line="211" w:lineRule="exact"/>
              <w:ind w:left="200"/>
              <w:rPr>
                <w:sz w:val="20"/>
              </w:rPr>
            </w:pPr>
            <w:r>
              <w:rPr>
                <w:color w:val="0D0D0D"/>
                <w:sz w:val="20"/>
              </w:rPr>
              <w:t>An asterisk (*) denotes a mandatory additional condition.</w:t>
            </w:r>
          </w:p>
        </w:tc>
        <w:tc>
          <w:tcPr>
            <w:tcW w:w="3638" w:type="dxa"/>
          </w:tcPr>
          <w:p>
            <w:pPr>
              <w:pStyle w:val="TableParagraph"/>
              <w:spacing w:line="211" w:lineRule="exact"/>
              <w:ind w:left="215"/>
              <w:rPr>
                <w:sz w:val="20"/>
              </w:rPr>
            </w:pPr>
            <w:r>
              <w:rPr>
                <w:color w:val="0D0D0D"/>
                <w:sz w:val="20"/>
              </w:rPr>
              <w:t>Duty to provide documentary evidence</w:t>
            </w:r>
          </w:p>
        </w:tc>
        <w:tc>
          <w:tcPr>
            <w:tcW w:w="2096" w:type="dxa"/>
          </w:tcPr>
          <w:p>
            <w:pPr>
              <w:pStyle w:val="TableParagraph"/>
              <w:spacing w:line="211" w:lineRule="exact"/>
              <w:ind w:left="265"/>
              <w:rPr>
                <w:sz w:val="20"/>
              </w:rPr>
            </w:pPr>
            <w:r>
              <w:rPr>
                <w:color w:val="0D0D0D"/>
                <w:sz w:val="20"/>
              </w:rPr>
              <w:t>This condition applies when:</w:t>
            </w:r>
          </w:p>
        </w:tc>
      </w:tr>
      <w:tr>
        <w:trPr>
          <w:trHeight w:val="230" w:hRule="atLeast"/>
        </w:trPr>
        <w:tc>
          <w:tcPr>
            <w:tcW w:w="3383" w:type="dxa"/>
          </w:tcPr>
          <w:p>
            <w:pPr>
              <w:pStyle w:val="TableParagraph"/>
              <w:rPr>
                <w:rFonts w:ascii="Times New Roman"/>
                <w:sz w:val="16"/>
              </w:rPr>
            </w:pPr>
          </w:p>
        </w:tc>
        <w:tc>
          <w:tcPr>
            <w:tcW w:w="3638" w:type="dxa"/>
          </w:tcPr>
          <w:p>
            <w:pPr>
              <w:pStyle w:val="TableParagraph"/>
              <w:rPr>
                <w:rFonts w:ascii="Times New Roman"/>
                <w:sz w:val="16"/>
              </w:rPr>
            </w:pPr>
          </w:p>
        </w:tc>
        <w:tc>
          <w:tcPr>
            <w:tcW w:w="2096" w:type="dxa"/>
          </w:tcPr>
          <w:p>
            <w:pPr>
              <w:pStyle w:val="TableParagraph"/>
              <w:spacing w:line="210" w:lineRule="exact"/>
              <w:ind w:left="265"/>
              <w:rPr>
                <w:sz w:val="20"/>
              </w:rPr>
            </w:pPr>
            <w:r>
              <w:rPr>
                <w:color w:val="0D0D0D"/>
                <w:sz w:val="20"/>
              </w:rPr>
              <w:t>the goods in question are:</w:t>
            </w:r>
          </w:p>
        </w:tc>
      </w:tr>
      <w:tr>
        <w:trPr>
          <w:trHeight w:val="229" w:hRule="atLeast"/>
        </w:trPr>
        <w:tc>
          <w:tcPr>
            <w:tcW w:w="3383" w:type="dxa"/>
          </w:tcPr>
          <w:p>
            <w:pPr>
              <w:pStyle w:val="TableParagraph"/>
              <w:spacing w:line="209" w:lineRule="exact"/>
              <w:ind w:left="200"/>
              <w:rPr>
                <w:sz w:val="20"/>
              </w:rPr>
            </w:pPr>
            <w:r>
              <w:rPr>
                <w:color w:val="0D0D0D"/>
                <w:sz w:val="20"/>
              </w:rPr>
              <w:t>originating goods; or</w:t>
            </w:r>
          </w:p>
        </w:tc>
        <w:tc>
          <w:tcPr>
            <w:tcW w:w="3638" w:type="dxa"/>
          </w:tcPr>
          <w:p>
            <w:pPr>
              <w:pStyle w:val="TableParagraph"/>
              <w:spacing w:line="209" w:lineRule="exact"/>
              <w:ind w:left="215"/>
              <w:rPr>
                <w:sz w:val="20"/>
              </w:rPr>
            </w:pPr>
            <w:r>
              <w:rPr>
                <w:color w:val="0D0D0D"/>
                <w:sz w:val="20"/>
              </w:rPr>
              <w:t>manufactured goods; or</w:t>
            </w:r>
          </w:p>
        </w:tc>
        <w:tc>
          <w:tcPr>
            <w:tcW w:w="2096" w:type="dxa"/>
          </w:tcPr>
          <w:p>
            <w:pPr>
              <w:pStyle w:val="TableParagraph"/>
              <w:spacing w:line="209" w:lineRule="exact"/>
              <w:ind w:left="265"/>
              <w:rPr>
                <w:sz w:val="20"/>
              </w:rPr>
            </w:pPr>
            <w:r>
              <w:rPr>
                <w:color w:val="0D0D0D"/>
                <w:sz w:val="20"/>
              </w:rPr>
              <w:t>used goods; or</w:t>
            </w:r>
          </w:p>
        </w:tc>
      </w:tr>
      <w:tr>
        <w:trPr>
          <w:trHeight w:val="229" w:hRule="atLeast"/>
        </w:trPr>
        <w:tc>
          <w:tcPr>
            <w:tcW w:w="3383" w:type="dxa"/>
          </w:tcPr>
          <w:p>
            <w:pPr>
              <w:pStyle w:val="TableParagraph"/>
              <w:rPr>
                <w:rFonts w:ascii="Times New Roman"/>
                <w:sz w:val="16"/>
              </w:rPr>
            </w:pPr>
          </w:p>
        </w:tc>
        <w:tc>
          <w:tcPr>
            <w:tcW w:w="3638" w:type="dxa"/>
          </w:tcPr>
          <w:p>
            <w:pPr>
              <w:pStyle w:val="TableParagraph"/>
              <w:rPr>
                <w:rFonts w:ascii="Times New Roman"/>
                <w:sz w:val="16"/>
              </w:rPr>
            </w:pPr>
          </w:p>
        </w:tc>
        <w:tc>
          <w:tcPr>
            <w:tcW w:w="2096" w:type="dxa"/>
          </w:tcPr>
          <w:p>
            <w:pPr>
              <w:pStyle w:val="TableParagraph"/>
              <w:spacing w:line="209" w:lineRule="exact"/>
              <w:ind w:left="265"/>
              <w:rPr>
                <w:sz w:val="20"/>
              </w:rPr>
            </w:pPr>
            <w:r>
              <w:rPr>
                <w:color w:val="0D0D0D"/>
                <w:sz w:val="20"/>
              </w:rPr>
              <w:t>processed goods; or</w:t>
            </w:r>
          </w:p>
        </w:tc>
      </w:tr>
      <w:tr>
        <w:trPr>
          <w:trHeight w:val="230" w:hRule="atLeast"/>
        </w:trPr>
        <w:tc>
          <w:tcPr>
            <w:tcW w:w="3383" w:type="dxa"/>
          </w:tcPr>
          <w:p>
            <w:pPr>
              <w:pStyle w:val="TableParagraph"/>
              <w:spacing w:line="210" w:lineRule="exact"/>
              <w:ind w:left="200"/>
              <w:rPr>
                <w:sz w:val="20"/>
              </w:rPr>
            </w:pPr>
            <w:r>
              <w:rPr>
                <w:color w:val="0D0D0D"/>
                <w:sz w:val="20"/>
              </w:rPr>
              <w:t>infiltrated goods; or</w:t>
            </w:r>
          </w:p>
        </w:tc>
        <w:tc>
          <w:tcPr>
            <w:tcW w:w="3638" w:type="dxa"/>
          </w:tcPr>
          <w:p>
            <w:pPr>
              <w:pStyle w:val="TableParagraph"/>
              <w:spacing w:line="210" w:lineRule="exact"/>
              <w:ind w:left="215"/>
              <w:rPr>
                <w:sz w:val="20"/>
              </w:rPr>
            </w:pPr>
            <w:r>
              <w:rPr>
                <w:color w:val="0D0D0D"/>
                <w:sz w:val="20"/>
              </w:rPr>
              <w:t>exposed goods.</w:t>
            </w:r>
          </w:p>
        </w:tc>
        <w:tc>
          <w:tcPr>
            <w:tcW w:w="2096" w:type="dxa"/>
          </w:tcPr>
          <w:p>
            <w:pPr>
              <w:pStyle w:val="TableParagraph"/>
              <w:rPr>
                <w:rFonts w:ascii="Times New Roman"/>
                <w:sz w:val="16"/>
              </w:rPr>
            </w:pPr>
          </w:p>
        </w:tc>
      </w:tr>
      <w:tr>
        <w:trPr>
          <w:trHeight w:val="230" w:hRule="atLeast"/>
        </w:trPr>
        <w:tc>
          <w:tcPr>
            <w:tcW w:w="3383" w:type="dxa"/>
          </w:tcPr>
          <w:p>
            <w:pPr>
              <w:pStyle w:val="TableParagraph"/>
              <w:spacing w:line="210" w:lineRule="exact"/>
              <w:ind w:left="200"/>
              <w:rPr>
                <w:sz w:val="20"/>
              </w:rPr>
            </w:pPr>
            <w:r>
              <w:rPr>
                <w:color w:val="0D0D0D"/>
                <w:sz w:val="20"/>
              </w:rPr>
              <w:t>Infiltrating goods</w:t>
            </w:r>
          </w:p>
        </w:tc>
        <w:tc>
          <w:tcPr>
            <w:tcW w:w="3638" w:type="dxa"/>
          </w:tcPr>
          <w:p>
            <w:pPr>
              <w:pStyle w:val="TableParagraph"/>
              <w:spacing w:line="210" w:lineRule="exact"/>
              <w:ind w:left="215"/>
              <w:rPr>
                <w:sz w:val="20"/>
              </w:rPr>
            </w:pPr>
            <w:r>
              <w:rPr>
                <w:color w:val="0D0D0D"/>
                <w:sz w:val="20"/>
              </w:rPr>
              <w:t>This condition applies when:</w:t>
            </w:r>
          </w:p>
        </w:tc>
        <w:tc>
          <w:tcPr>
            <w:tcW w:w="2096" w:type="dxa"/>
          </w:tcPr>
          <w:p>
            <w:pPr>
              <w:pStyle w:val="TableParagraph"/>
              <w:rPr>
                <w:rFonts w:ascii="Times New Roman"/>
                <w:sz w:val="16"/>
              </w:rPr>
            </w:pPr>
          </w:p>
        </w:tc>
      </w:tr>
      <w:tr>
        <w:trPr>
          <w:trHeight w:val="344" w:hRule="atLeast"/>
        </w:trPr>
        <w:tc>
          <w:tcPr>
            <w:tcW w:w="3383" w:type="dxa"/>
          </w:tcPr>
          <w:p>
            <w:pPr>
              <w:pStyle w:val="TableParagraph"/>
              <w:rPr>
                <w:rFonts w:ascii="Times New Roman"/>
                <w:sz w:val="20"/>
              </w:rPr>
            </w:pPr>
          </w:p>
        </w:tc>
        <w:tc>
          <w:tcPr>
            <w:tcW w:w="3638" w:type="dxa"/>
          </w:tcPr>
          <w:p>
            <w:pPr>
              <w:pStyle w:val="TableParagraph"/>
              <w:spacing w:line="227" w:lineRule="exact"/>
              <w:ind w:left="215"/>
              <w:rPr>
                <w:sz w:val="20"/>
              </w:rPr>
            </w:pPr>
            <w:r>
              <w:rPr>
                <w:color w:val="0D0D0D"/>
                <w:sz w:val="20"/>
              </w:rPr>
              <w:t>the goods in question are:</w:t>
            </w:r>
          </w:p>
        </w:tc>
        <w:tc>
          <w:tcPr>
            <w:tcW w:w="2096" w:type="dxa"/>
          </w:tcPr>
          <w:p>
            <w:pPr>
              <w:pStyle w:val="TableParagraph"/>
              <w:rPr>
                <w:rFonts w:ascii="Times New Roman"/>
                <w:sz w:val="20"/>
              </w:rPr>
            </w:pPr>
          </w:p>
        </w:tc>
      </w:tr>
      <w:tr>
        <w:trPr>
          <w:trHeight w:val="344" w:hRule="atLeast"/>
        </w:trPr>
        <w:tc>
          <w:tcPr>
            <w:tcW w:w="3383" w:type="dxa"/>
          </w:tcPr>
          <w:p>
            <w:pPr>
              <w:pStyle w:val="TableParagraph"/>
              <w:spacing w:line="214" w:lineRule="exact" w:before="110"/>
              <w:ind w:left="200"/>
              <w:rPr>
                <w:b/>
                <w:sz w:val="20"/>
              </w:rPr>
            </w:pPr>
            <w:r>
              <w:rPr>
                <w:b/>
                <w:color w:val="0D0D0D"/>
                <w:sz w:val="20"/>
                <w:u w:val="thick" w:color="0D0D0D"/>
              </w:rPr>
              <w:t>originating goods; or</w:t>
            </w:r>
          </w:p>
        </w:tc>
        <w:tc>
          <w:tcPr>
            <w:tcW w:w="3638" w:type="dxa"/>
          </w:tcPr>
          <w:p>
            <w:pPr>
              <w:pStyle w:val="TableParagraph"/>
              <w:spacing w:line="214" w:lineRule="exact" w:before="110"/>
              <w:ind w:left="215"/>
              <w:rPr>
                <w:b/>
                <w:sz w:val="20"/>
              </w:rPr>
            </w:pPr>
            <w:r>
              <w:rPr>
                <w:b/>
                <w:color w:val="0D0D0D"/>
                <w:sz w:val="20"/>
                <w:u w:val="thick" w:color="0D0D0D"/>
              </w:rPr>
              <w:t>manufactured goods; or</w:t>
            </w:r>
          </w:p>
        </w:tc>
        <w:tc>
          <w:tcPr>
            <w:tcW w:w="2096" w:type="dxa"/>
          </w:tcPr>
          <w:p>
            <w:pPr>
              <w:pStyle w:val="TableParagraph"/>
              <w:rPr>
                <w:rFonts w:ascii="Times New Roman"/>
                <w:sz w:val="20"/>
              </w:rPr>
            </w:pPr>
          </w:p>
        </w:tc>
      </w:tr>
      <w:tr>
        <w:trPr>
          <w:trHeight w:val="229" w:hRule="atLeast"/>
        </w:trPr>
        <w:tc>
          <w:tcPr>
            <w:tcW w:w="3383" w:type="dxa"/>
          </w:tcPr>
          <w:p>
            <w:pPr>
              <w:pStyle w:val="TableParagraph"/>
              <w:spacing w:line="210" w:lineRule="exact"/>
              <w:ind w:left="200"/>
              <w:rPr>
                <w:sz w:val="20"/>
              </w:rPr>
            </w:pPr>
            <w:r>
              <w:rPr>
                <w:color w:val="0D0D0D"/>
                <w:sz w:val="20"/>
              </w:rPr>
              <w:t>used goods; or</w:t>
            </w:r>
          </w:p>
        </w:tc>
        <w:tc>
          <w:tcPr>
            <w:tcW w:w="3638" w:type="dxa"/>
          </w:tcPr>
          <w:p>
            <w:pPr>
              <w:pStyle w:val="TableParagraph"/>
              <w:spacing w:line="210" w:lineRule="exact"/>
              <w:ind w:left="215"/>
              <w:rPr>
                <w:sz w:val="20"/>
              </w:rPr>
            </w:pPr>
            <w:r>
              <w:rPr>
                <w:color w:val="0D0D0D"/>
                <w:sz w:val="20"/>
              </w:rPr>
              <w:t>processed goods; or</w:t>
            </w:r>
          </w:p>
        </w:tc>
        <w:tc>
          <w:tcPr>
            <w:tcW w:w="2096" w:type="dxa"/>
          </w:tcPr>
          <w:p>
            <w:pPr>
              <w:pStyle w:val="TableParagraph"/>
              <w:rPr>
                <w:rFonts w:ascii="Times New Roman"/>
                <w:sz w:val="16"/>
              </w:rPr>
            </w:pPr>
          </w:p>
        </w:tc>
      </w:tr>
      <w:tr>
        <w:trPr>
          <w:trHeight w:val="230" w:hRule="atLeast"/>
        </w:trPr>
        <w:tc>
          <w:tcPr>
            <w:tcW w:w="3383" w:type="dxa"/>
          </w:tcPr>
          <w:p>
            <w:pPr>
              <w:pStyle w:val="TableParagraph"/>
              <w:rPr>
                <w:rFonts w:ascii="Times New Roman"/>
                <w:sz w:val="16"/>
              </w:rPr>
            </w:pPr>
          </w:p>
        </w:tc>
        <w:tc>
          <w:tcPr>
            <w:tcW w:w="3638" w:type="dxa"/>
          </w:tcPr>
          <w:p>
            <w:pPr>
              <w:pStyle w:val="TableParagraph"/>
              <w:spacing w:line="210" w:lineRule="exact"/>
              <w:ind w:left="215"/>
              <w:rPr>
                <w:sz w:val="20"/>
              </w:rPr>
            </w:pPr>
            <w:r>
              <w:rPr>
                <w:color w:val="0D0D0D"/>
                <w:sz w:val="20"/>
              </w:rPr>
              <w:t>infiltrated goods; or</w:t>
            </w:r>
          </w:p>
        </w:tc>
        <w:tc>
          <w:tcPr>
            <w:tcW w:w="2096" w:type="dxa"/>
          </w:tcPr>
          <w:p>
            <w:pPr>
              <w:pStyle w:val="TableParagraph"/>
              <w:rPr>
                <w:rFonts w:ascii="Times New Roman"/>
                <w:sz w:val="16"/>
              </w:rPr>
            </w:pPr>
          </w:p>
        </w:tc>
      </w:tr>
      <w:tr>
        <w:trPr>
          <w:trHeight w:val="344" w:hRule="atLeast"/>
        </w:trPr>
        <w:tc>
          <w:tcPr>
            <w:tcW w:w="3383" w:type="dxa"/>
          </w:tcPr>
          <w:p>
            <w:pPr>
              <w:pStyle w:val="TableParagraph"/>
              <w:rPr>
                <w:rFonts w:ascii="Times New Roman"/>
                <w:sz w:val="20"/>
              </w:rPr>
            </w:pPr>
          </w:p>
        </w:tc>
        <w:tc>
          <w:tcPr>
            <w:tcW w:w="3638" w:type="dxa"/>
          </w:tcPr>
          <w:p>
            <w:pPr>
              <w:pStyle w:val="TableParagraph"/>
              <w:spacing w:line="227" w:lineRule="exact"/>
              <w:ind w:left="215"/>
              <w:rPr>
                <w:sz w:val="20"/>
              </w:rPr>
            </w:pPr>
            <w:r>
              <w:rPr>
                <w:color w:val="0D0D0D"/>
                <w:sz w:val="20"/>
              </w:rPr>
              <w:t>exposed goods; or</w:t>
            </w:r>
          </w:p>
        </w:tc>
        <w:tc>
          <w:tcPr>
            <w:tcW w:w="2096" w:type="dxa"/>
          </w:tcPr>
          <w:p>
            <w:pPr>
              <w:pStyle w:val="TableParagraph"/>
              <w:rPr>
                <w:rFonts w:ascii="Times New Roman"/>
                <w:sz w:val="20"/>
              </w:rPr>
            </w:pPr>
          </w:p>
        </w:tc>
      </w:tr>
      <w:tr>
        <w:trPr>
          <w:trHeight w:val="346" w:hRule="atLeast"/>
        </w:trPr>
        <w:tc>
          <w:tcPr>
            <w:tcW w:w="3383" w:type="dxa"/>
          </w:tcPr>
          <w:p>
            <w:pPr>
              <w:pStyle w:val="TableParagraph"/>
              <w:spacing w:line="215" w:lineRule="exact" w:before="111"/>
              <w:ind w:left="200"/>
              <w:rPr>
                <w:b/>
                <w:sz w:val="20"/>
              </w:rPr>
            </w:pPr>
            <w:r>
              <w:rPr>
                <w:b/>
                <w:color w:val="0D0D0D"/>
                <w:sz w:val="20"/>
                <w:u w:val="thick" w:color="0D0D0D"/>
              </w:rPr>
              <w:t>used as raw materials; or</w:t>
            </w:r>
          </w:p>
        </w:tc>
        <w:tc>
          <w:tcPr>
            <w:tcW w:w="3638" w:type="dxa"/>
          </w:tcPr>
          <w:p>
            <w:pPr>
              <w:pStyle w:val="TableParagraph"/>
              <w:spacing w:line="215" w:lineRule="exact" w:before="111"/>
              <w:ind w:left="215"/>
              <w:rPr>
                <w:b/>
                <w:sz w:val="20"/>
              </w:rPr>
            </w:pPr>
            <w:r>
              <w:rPr>
                <w:b/>
                <w:color w:val="0D0D0D"/>
                <w:sz w:val="20"/>
                <w:u w:val="thick" w:color="0D0D0D"/>
              </w:rPr>
              <w:t>compiled as raw materials.</w:t>
            </w:r>
          </w:p>
        </w:tc>
        <w:tc>
          <w:tcPr>
            <w:tcW w:w="2096" w:type="dxa"/>
          </w:tcPr>
          <w:p>
            <w:pPr>
              <w:pStyle w:val="TableParagraph"/>
              <w:rPr>
                <w:rFonts w:ascii="Times New Roman"/>
                <w:sz w:val="20"/>
              </w:rPr>
            </w:pPr>
          </w:p>
        </w:tc>
      </w:tr>
      <w:tr>
        <w:trPr>
          <w:trHeight w:val="227" w:hRule="atLeast"/>
        </w:trPr>
        <w:tc>
          <w:tcPr>
            <w:tcW w:w="3383" w:type="dxa"/>
          </w:tcPr>
          <w:p>
            <w:pPr>
              <w:pStyle w:val="TableParagraph"/>
              <w:spacing w:line="207" w:lineRule="exact"/>
              <w:ind w:left="200"/>
              <w:rPr>
                <w:sz w:val="20"/>
              </w:rPr>
            </w:pPr>
            <w:r>
              <w:rPr>
                <w:color w:val="0D0D0D"/>
                <w:sz w:val="20"/>
              </w:rPr>
              <w:t>Exposed goods</w:t>
            </w:r>
          </w:p>
        </w:tc>
        <w:tc>
          <w:tcPr>
            <w:tcW w:w="3638" w:type="dxa"/>
          </w:tcPr>
          <w:p>
            <w:pPr>
              <w:pStyle w:val="TableParagraph"/>
              <w:spacing w:line="207" w:lineRule="exact"/>
              <w:ind w:left="215"/>
              <w:rPr>
                <w:sz w:val="20"/>
              </w:rPr>
            </w:pPr>
            <w:r>
              <w:rPr>
                <w:color w:val="0D0D0D"/>
                <w:sz w:val="20"/>
              </w:rPr>
              <w:t>This condition applies when:</w:t>
            </w:r>
          </w:p>
        </w:tc>
        <w:tc>
          <w:tcPr>
            <w:tcW w:w="2096" w:type="dxa"/>
          </w:tcPr>
          <w:p>
            <w:pPr>
              <w:pStyle w:val="TableParagraph"/>
              <w:rPr>
                <w:rFonts w:ascii="Times New Roman"/>
                <w:sz w:val="16"/>
              </w:rPr>
            </w:pPr>
          </w:p>
        </w:tc>
      </w:tr>
    </w:tbl>
    <w:p>
      <w:pPr>
        <w:pStyle w:val="BodyText"/>
        <w:rPr>
          <w:sz w:val="22"/>
        </w:rPr>
      </w:pPr>
    </w:p>
    <w:p>
      <w:pPr>
        <w:pStyle w:val="BodyText"/>
        <w:rPr>
          <w:sz w:val="22"/>
        </w:rPr>
      </w:pPr>
    </w:p>
    <w:p>
      <w:pPr>
        <w:pStyle w:val="BodyText"/>
        <w:spacing w:before="9"/>
        <w:rPr>
          <w:sz w:val="17"/>
        </w:rPr>
      </w:pPr>
    </w:p>
    <w:p>
      <w:pPr>
        <w:pStyle w:val="BodyText"/>
        <w:ind w:left="193" w:right="101"/>
      </w:pPr>
      <w:r>
        <w:rPr>
          <w:b w:val="0"/>
          <w:i w:val="0"/>
          <w:u w:val="none"/>
        </w:rPr>
        <w:t>Any person licensed as an agent must satisfy themselves of the eligibility of any goods in the warehouse at which any such goods are held by the company and comply with the requirements of Part 3.3 of the Act.</w:t>
      </w:r>
      <w:r>
        <w:rPr>
          <w:color w:val="0D0D0D"/>
        </w:rPr>
      </w:r>
      <w:r>
        <w:rPr/>
      </w:r>
    </w:p>
    <w:p>
      <w:pPr>
        <w:pStyle w:val="BodyText"/>
        <w:spacing w:before="9"/>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3"/>
        <w:gridCol w:w="4757"/>
      </w:tblGrid>
      <w:tr>
        <w:trPr>
          <w:trHeight w:val="911" w:hRule="atLeast"/>
        </w:trPr>
        <w:tc>
          <w:tcPr>
            <w:tcW w:w="3833" w:type="dxa"/>
          </w:tcPr>
          <w:p>
            <w:pPr>
              <w:pStyle w:val="TableParagraph"/>
              <w:ind w:left="200" w:right="1134"/>
              <w:rPr>
                <w:sz w:val="20"/>
              </w:rPr>
            </w:pPr>
            <w:r>
              <w:rPr>
                <w:b w:val="0"/>
                <w:i w:val="0"/>
                <w:sz w:val="20"/>
                <w:u w:val="none"/>
              </w:rPr>
              <w:t>the goods in question are exposed to air; or</w:t>
            </w:r>
            <w:r>
              <w:rPr>
                <w:color w:val="0D0D0D"/>
                <w:sz w:val="20"/>
              </w:rPr>
            </w:r>
            <w:r>
              <w:rPr>
                <w:sz w:val="20"/>
              </w:rPr>
            </w:r>
          </w:p>
          <w:p>
            <w:pPr>
              <w:pStyle w:val="TableParagraph"/>
              <w:spacing w:line="209" w:lineRule="exact"/>
              <w:ind w:left="200"/>
              <w:rPr>
                <w:sz w:val="20"/>
              </w:rPr>
            </w:pPr>
            <w:r>
              <w:rPr>
                <w:sz w:val="20"/>
              </w:rPr>
              <w:t>any one of these:</w:t>
            </w:r>
          </w:p>
        </w:tc>
        <w:tc>
          <w:tcPr>
            <w:tcW w:w="4757" w:type="dxa"/>
          </w:tcPr>
          <w:p>
            <w:pPr>
              <w:pStyle w:val="TableParagraph"/>
              <w:spacing w:before="115"/>
              <w:ind w:left="1155"/>
              <w:rPr>
                <w:sz w:val="20"/>
              </w:rPr>
            </w:pPr>
            <w:r>
              <w:rPr>
                <w:sz w:val="20"/>
              </w:rPr>
              <w:t xml:space="preserve">they are: </w:t>
            </w:r>
            <w:hyperlink r:id="rId6">
              <w:r>
                <w:rPr>
                  <w:w w:val="95"/>
                  <w:sz w:val="20"/>
                  <w:u w:val="single"/>
                </w:rPr>
                <w:t>brokers.licensing@homeaffairs.gov.au</w:t>
              </w:r>
            </w:hyperlink>
          </w:p>
        </w:tc>
      </w:tr>
    </w:tbl>
    <w:p>
      <w:pPr>
        <w:pStyle w:val="BodyText"/>
        <w:spacing w:before="3"/>
        <w:rPr>
          <w:sz w:val="21"/>
        </w:rPr>
      </w:pPr>
    </w:p>
    <w:p>
      <w:pPr>
        <w:pStyle w:val="BodyText"/>
        <w:spacing w:before="1"/>
        <w:ind w:left="193" w:right="245"/>
      </w:pPr>
      <w:r>
        <w:rPr/>
        <w:t>Any importer of the goods must report to Customs any change of warehouse for the goods as soon as practicable after the change. Where a change occurs, it must be reported within three working days of the change.</w:t>
      </w:r>
    </w:p>
    <w:p>
      <w:pPr>
        <w:pStyle w:val="BodyText"/>
        <w:spacing w:before="5"/>
        <w:rPr>
          <w:sz w:val="30"/>
        </w:rPr>
      </w:pPr>
    </w:p>
    <w:p>
      <w:pPr>
        <w:pStyle w:val="BodyText"/>
        <w:ind w:left="193"/>
      </w:pPr>
      <w:r>
        <w:rPr/>
        <w:t>Section 183</w:t>
      </w:r>
    </w:p>
    <w:p>
      <w:pPr>
        <w:pStyle w:val="BodyText"/>
        <w:spacing w:before="1"/>
      </w:pPr>
    </w:p>
    <w:p>
      <w:pPr>
        <w:pStyle w:val="BodyText"/>
        <w:ind w:left="193" w:right="8093"/>
      </w:pPr>
      <w:r>
        <w:rPr>
          <w:color w:val="0D0D0D"/>
        </w:rPr>
        <w:t>Indication of condition</w:t>
      </w:r>
    </w:p>
    <w:p>
      <w:pPr>
        <w:pStyle w:val="BodyText"/>
        <w:spacing w:before="1"/>
        <w:ind w:left="193"/>
      </w:pPr>
      <w:r>
        <w:rPr>
          <w:color w:val="0D0D0D"/>
        </w:rPr>
        <w:t>INDICATIONS OF BUNDY</w:t>
      </w:r>
    </w:p>
    <w:p>
      <w:pPr>
        <w:pStyle w:val="BodyText"/>
        <w:spacing w:line="237" w:lineRule="auto" w:before="2"/>
        <w:ind w:left="193" w:right="5815"/>
      </w:pPr>
      <w:r>
        <w:rPr>
          <w:color w:val="0D0D0D"/>
        </w:rPr>
        <w:t>When goods in the Customs depot are of ordinary quality.</w:t>
      </w:r>
    </w:p>
    <w:p>
      <w:pPr>
        <w:pStyle w:val="BodyText"/>
        <w:spacing w:before="1"/>
      </w:pPr>
    </w:p>
    <w:p>
      <w:pPr>
        <w:pStyle w:val="BodyText"/>
        <w:ind w:left="193"/>
      </w:pPr>
      <w:r>
        <w:rPr>
          <w:color w:val="0D0D0D"/>
        </w:rPr>
        <w:t>When goods are of:</w:t>
      </w:r>
    </w:p>
    <w:sectPr>
      <w:type w:val="continuous"/>
      <w:pgSz w:w="11910" w:h="16840"/>
      <w:pgMar w:top="0" w:bottom="280" w:left="9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US" w:bidi="ar-SA"/>
    </w:rPr>
  </w:style>
  <w:style w:styleId="BodyText" w:type="paragraph">
    <w:name w:val="Body Text"/>
    <w:basedOn w:val="Normal"/>
    <w:uiPriority w:val="1"/>
    <w:qFormat/>
    <w:pPr/>
    <w:rPr>
      <w:rFonts w:ascii="Arial" w:hAnsi="Arial" w:eastAsia="Arial" w:cs="Arial"/>
      <w:sz w:val="20"/>
      <w:szCs w:val="20"/>
      <w:lang w:val="en-gb" w:eastAsia="en-US" w:bidi="ar-SA"/>
    </w:rPr>
  </w:style>
  <w:style w:styleId="Title" w:type="paragraph">
    <w:name w:val="Title"/>
    <w:basedOn w:val="Normal"/>
    <w:uiPriority w:val="1"/>
    <w:qFormat/>
    <w:pPr>
      <w:spacing w:before="83"/>
      <w:ind w:left="2465" w:right="574" w:hanging="1809"/>
    </w:pPr>
    <w:rPr>
      <w:rFonts w:ascii="Arial" w:hAnsi="Arial" w:eastAsia="Arial" w:cs="Arial"/>
      <w:b/>
      <w:bCs/>
      <w:sz w:val="52"/>
      <w:szCs w:val="52"/>
      <w:lang w:val="en-gb" w:eastAsia="en-US" w:bidi="ar-SA"/>
    </w:rPr>
  </w:style>
  <w:style w:styleId="ListParagraph" w:type="paragraph">
    <w:name w:val="List Paragraph"/>
    <w:basedOn w:val="Normal"/>
    <w:uiPriority w:val="1"/>
    <w:qFormat/>
    <w:pPr/>
    <w:rPr>
      <w:lang w:val="en-gb" w:eastAsia="en-US" w:bidi="ar-SA"/>
    </w:rPr>
  </w:style>
  <w:style w:styleId="TableParagraph" w:type="paragraph">
    <w:name w:val="Table Paragraph"/>
    <w:basedOn w:val="Normal"/>
    <w:uiPriority w:val="1"/>
    <w:qFormat/>
    <w:pPr/>
    <w:rPr>
      <w:rFonts w:ascii="Arial" w:hAnsi="Arial" w:eastAsia="Arial" w:cs="Arial"/>
      <w:lang w:val="en-gb"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being raw materials or assembled into products</dc:creator>
  <dc:subject>manufactured goods for export.</dc:subject>
  <dc:title>Travelling goods and cargo goods</dc:title>
  <dcterms:created xsi:type="dcterms:W3CDTF">2020-12-09T23:18:02Z</dcterms:created>
  <dcterms:modified xsi:type="dcterms:W3CDTF">2020-12-09T23:18:02Z</dcterms:modified>
  <cp:category/>
  <dc:description/>
  <cp:contentStatus/>
  <dc:identifier/>
  <cp:keywords/>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Creator">
    <vt:lpwstr>Microsoft® Word 2016</vt:lpwstr>
  </property>
  <property fmtid="{D5CDD505-2E9C-101B-9397-08002B2CF9AE}" pid="4" name="LastSaved">
    <vt:filetime>2020-12-09T00:00:00Z</vt:filetime>
  </property>
</Properties>
</file>