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39200">
            <wp:simplePos x="0" y="0"/>
            <wp:positionH relativeFrom="page">
              <wp:posOffset>0</wp:posOffset>
            </wp:positionH>
            <wp:positionV relativeFrom="page">
              <wp:posOffset>4571</wp:posOffset>
            </wp:positionV>
            <wp:extent cx="7559675" cy="1532763"/>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532763"/>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1"/>
        </w:rPr>
      </w:pPr>
    </w:p>
    <w:p>
      <w:pPr>
        <w:pStyle w:val="Title"/>
        <w:spacing w:line="264" w:lineRule="auto"/>
      </w:pPr>
      <w:bookmarkStart w:name="DEPARTMENT OF HOME AFFAIRS NOTICE No. 20" w:id="1"/>
      <w:bookmarkEnd w:id="1"/>
      <w:r>
        <w:rPr>
          <w:b w:val="0"/>
        </w:rPr>
      </w:r>
      <w:r>
        <w:rPr>
          <w:color w:val="034EA2"/>
        </w:rPr>
        <w:t>Australian Customs Notice 2002 08</w:t>
      </w:r>
    </w:p>
    <w:p>
      <w:pPr>
        <w:spacing w:before="399"/>
        <w:ind w:left="172" w:right="96" w:firstLine="0"/>
        <w:jc w:val="center"/>
        <w:rPr>
          <w:b/>
          <w:sz w:val="32"/>
        </w:rPr>
      </w:pPr>
      <w:bookmarkStart w:name="Applications for Customs Broker Licence" w:id="2"/>
      <w:bookmarkEnd w:id="2"/>
      <w:r>
        <w:rPr/>
      </w:r>
      <w:r>
        <w:rPr>
          <w:b/>
          <w:sz w:val="32"/>
        </w:rPr>
        <w:t>CHEESE BEER DISRUPTION ACT 1995</w:t>
      </w:r>
    </w:p>
    <w:p>
      <w:pPr>
        <w:pStyle w:val="BodyText"/>
        <w:spacing w:before="285"/>
        <w:ind w:left="173" w:right="96"/>
        <w:jc w:val="center"/>
      </w:pPr>
      <w:r>
        <w:rPr/>
        <w:t>This Notice contains information relating to the Cheese Beer Prohibition Act 1995 (Cheese Beer Prohibition Act) which commenced on 22 July 2001.</w:t>
      </w:r>
    </w:p>
    <w:p>
      <w:pPr>
        <w:pStyle w:val="BodyText"/>
      </w:pPr>
    </w:p>
    <w:p>
      <w:pPr>
        <w:pStyle w:val="BodyText"/>
        <w:spacing w:before="7"/>
        <w:rPr>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2"/>
      </w:tblGrid>
      <w:tr>
        <w:trPr>
          <w:trHeight w:val="227" w:hRule="atLeast"/>
        </w:trPr>
        <w:tc>
          <w:tcPr>
            <w:tcW w:w="2522" w:type="dxa"/>
          </w:tcPr>
          <w:p>
            <w:pPr>
              <w:pStyle w:val="TableParagraph"/>
              <w:spacing w:line="208" w:lineRule="exact"/>
              <w:rPr>
                <w:b/>
                <w:sz w:val="20"/>
              </w:rPr>
            </w:pPr>
            <w:r>
              <w:rPr>
                <w:b/>
                <w:color w:val="050505"/>
                <w:sz w:val="20"/>
                <w:u w:val="thick" w:color="050505"/>
              </w:rPr>
              <w:t>Anthony Seebach</w:t>
            </w:r>
          </w:p>
        </w:tc>
      </w:tr>
      <w:tr>
        <w:trPr>
          <w:trHeight w:val="231" w:hRule="atLeast"/>
        </w:trPr>
        <w:tc>
          <w:tcPr>
            <w:tcW w:w="2522" w:type="dxa"/>
          </w:tcPr>
          <w:p>
            <w:pPr>
              <w:pStyle w:val="TableParagraph"/>
              <w:spacing w:line="212" w:lineRule="exact"/>
              <w:rPr>
                <w:sz w:val="20"/>
              </w:rPr>
            </w:pPr>
            <w:r>
              <w:rPr>
                <w:color w:val="050505"/>
                <w:sz w:val="20"/>
              </w:rPr>
              <w:t>National Manager Cargo Branch</w:t>
            </w:r>
          </w:p>
        </w:tc>
      </w:tr>
      <w:tr>
        <w:trPr>
          <w:trHeight w:val="230" w:hRule="atLeast"/>
        </w:trPr>
        <w:tc>
          <w:tcPr>
            <w:tcW w:w="2522" w:type="dxa"/>
          </w:tcPr>
          <w:p>
            <w:pPr>
              <w:pStyle w:val="TableParagraph"/>
              <w:spacing w:line="210" w:lineRule="exact"/>
              <w:rPr>
                <w:sz w:val="20"/>
              </w:rPr>
            </w:pPr>
            <w:r>
              <w:rPr>
                <w:color w:val="050505"/>
                <w:sz w:val="20"/>
              </w:rPr>
              <w:t>For Chief Executive Officer 19 August 2001</w:t>
            </w:r>
          </w:p>
        </w:tc>
      </w:tr>
      <w:tr>
        <w:trPr>
          <w:trHeight w:val="229" w:hRule="atLeast"/>
        </w:trPr>
        <w:tc>
          <w:tcPr>
            <w:tcW w:w="2522" w:type="dxa"/>
          </w:tcPr>
          <w:p>
            <w:pPr>
              <w:pStyle w:val="TableParagraph"/>
              <w:rPr>
                <w:sz w:val="20"/>
              </w:rPr>
            </w:pPr>
            <w:r>
              <w:rPr>
                <w:color w:val="050505"/>
                <w:sz w:val="20"/>
              </w:rPr>
              <w:t>[Signed]</w:t>
            </w:r>
          </w:p>
        </w:tc>
      </w:tr>
      <w:tr>
        <w:trPr>
          <w:trHeight w:val="229" w:hRule="atLeast"/>
        </w:trPr>
        <w:tc>
          <w:tcPr>
            <w:tcW w:w="2522" w:type="dxa"/>
          </w:tcPr>
          <w:p>
            <w:pPr>
              <w:pStyle w:val="TableParagraph"/>
              <w:rPr>
                <w:sz w:val="20"/>
              </w:rPr>
            </w:pPr>
            <w:r>
              <w:rPr>
                <w:color w:val="050505"/>
                <w:sz w:val="20"/>
              </w:rPr>
              <w:t>Anthony Seebach</w:t>
            </w:r>
          </w:p>
        </w:tc>
      </w:tr>
      <w:tr>
        <w:trPr>
          <w:trHeight w:val="226" w:hRule="atLeast"/>
        </w:trPr>
        <w:tc>
          <w:tcPr>
            <w:tcW w:w="2522" w:type="dxa"/>
          </w:tcPr>
          <w:p>
            <w:pPr>
              <w:pStyle w:val="TableParagraph"/>
              <w:spacing w:line="206" w:lineRule="exact"/>
              <w:rPr>
                <w:sz w:val="20"/>
              </w:rPr>
            </w:pPr>
            <w:r>
              <w:rPr>
                <w:color w:val="050505"/>
                <w:sz w:val="20"/>
              </w:rPr>
              <w:t>National Manager</w:t>
            </w:r>
          </w:p>
        </w:tc>
      </w:tr>
    </w:tbl>
    <w:p>
      <w:pPr>
        <w:pStyle w:val="BodyText"/>
      </w:pPr>
    </w:p>
    <w:p>
      <w:pPr>
        <w:pStyle w:val="BodyText"/>
      </w:pPr>
    </w:p>
    <w:p>
      <w:pPr>
        <w:pStyle w:val="BodyText"/>
        <w:rPr>
          <w:sz w:val="22"/>
        </w:rPr>
      </w:pPr>
    </w:p>
    <w:p>
      <w:pPr>
        <w:pStyle w:val="BodyText"/>
        <w:ind w:left="192" w:right="85"/>
      </w:pPr>
      <w:r>
        <w:rPr/>
        <w:pict>
          <v:shapetype id="_x0000_t202" o:spt="202" coordsize="21600,21600" path="m,l,21600r21600,l21600,xe">
            <v:stroke joinstyle="miter"/>
            <v:path gradientshapeok="t" o:connecttype="rect"/>
          </v:shapetype>
          <v:shape style="position:absolute;margin-left:52.040001pt;margin-top:34.923351pt;width:299.95pt;height:45.6pt;mso-position-horizontal-relative:page;mso-position-vertical-relative:paragraph;z-index:15729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3"/>
                    <w:gridCol w:w="2166"/>
                  </w:tblGrid>
                  <w:tr>
                    <w:trPr>
                      <w:trHeight w:val="911" w:hRule="atLeast"/>
                    </w:trPr>
                    <w:tc>
                      <w:tcPr>
                        <w:tcW w:w="3833" w:type="dxa"/>
                      </w:tcPr>
                      <w:p>
                        <w:pPr>
                          <w:pStyle w:val="TableParagraph"/>
                          <w:spacing w:line="240" w:lineRule="auto"/>
                          <w:ind w:right="1134"/>
                          <w:rPr>
                            <w:sz w:val="20"/>
                          </w:rPr>
                        </w:pPr>
                        <w:r>
                          <w:rPr>
                            <w:sz w:val="20"/>
                          </w:rPr>
                          <w:t>Broker Licensing </w:t>
                        </w:r>
                        <w:r>
                          <w:rPr>
                            <w:color w:val="050505"/>
                            <w:sz w:val="20"/>
                          </w:rPr>
                          <w:t>Department of Home Affairs </w:t>
                        </w:r>
                        <w:r>
                          <w:rPr>
                            <w:sz w:val="20"/>
                          </w:rPr>
                          <w:t>5 Constitution Avenue</w:t>
                        </w:r>
                      </w:p>
                      <w:p>
                        <w:pPr>
                          <w:pStyle w:val="TableParagraph"/>
                          <w:rPr>
                            <w:sz w:val="20"/>
                          </w:rPr>
                        </w:pPr>
                        <w:r>
                          <w:rPr>
                            <w:sz w:val="20"/>
                          </w:rPr>
                          <w:t>CANBERRA ACT 2601</w:t>
                        </w:r>
                      </w:p>
                    </w:tc>
                    <w:tc>
                      <w:tcPr>
                        <w:tcW w:w="2166" w:type="dxa"/>
                      </w:tcPr>
                      <w:p>
                        <w:pPr>
                          <w:pStyle w:val="TableParagraph"/>
                          <w:spacing w:line="240" w:lineRule="auto" w:before="115"/>
                          <w:ind w:left="1155" w:right="-143"/>
                          <w:rPr>
                            <w:sz w:val="20"/>
                          </w:rPr>
                        </w:pPr>
                        <w:r>
                          <w:rPr>
                            <w:sz w:val="20"/>
                          </w:rPr>
                          <w:t>Or email: </w:t>
                        </w:r>
                        <w:hyperlink r:id="rId6">
                          <w:r>
                            <w:rPr>
                              <w:sz w:val="20"/>
                              <w:u w:val="single"/>
                            </w:rPr>
                            <w:t>brokers.licen</w:t>
                          </w:r>
                        </w:hyperlink>
                      </w:p>
                    </w:tc>
                  </w:tr>
                </w:tbl>
                <w:p>
                  <w:pPr>
                    <w:pStyle w:val="BodyText"/>
                  </w:pPr>
                </w:p>
              </w:txbxContent>
            </v:textbox>
            <w10:wrap type="none"/>
          </v:shape>
        </w:pict>
      </w:r>
      <w:r>
        <w:rPr>
          <w:b w:val="0"/>
          <w:i w:val="0"/>
          <w:u w:val="none"/>
        </w:rPr>
        <w:t>The Cheese Beer Prohibition Act (Cheese Beer Prohibition) applies to beer that is:</w:t>
      </w:r>
      <w:r>
        <w:rPr>
          <w:color w:val="050505"/>
        </w:rPr>
      </w:r>
      <w:r>
        <w:rPr/>
      </w:r>
    </w:p>
    <w:p>
      <w:pPr>
        <w:pStyle w:val="BodyText"/>
        <w:rPr>
          <w:sz w:val="22"/>
        </w:rPr>
      </w:pPr>
    </w:p>
    <w:p>
      <w:pPr>
        <w:pStyle w:val="BodyText"/>
        <w:spacing w:before="9"/>
        <w:rPr>
          <w:sz w:val="28"/>
        </w:rPr>
      </w:pPr>
    </w:p>
    <w:p>
      <w:pPr>
        <w:pStyle w:val="BodyText"/>
        <w:spacing w:before="1"/>
        <w:ind w:left="6221"/>
      </w:pPr>
      <w:hyperlink r:id="rId6">
        <w:r>
          <w:rPr>
            <w:u w:val="single"/>
          </w:rPr>
          <w:t>sing@homeaffairs.gov.au</w:t>
        </w:r>
      </w:hyperlink>
    </w:p>
    <w:p>
      <w:pPr>
        <w:pStyle w:val="BodyText"/>
        <w:rPr>
          <w:sz w:val="22"/>
        </w:rPr>
      </w:pPr>
    </w:p>
    <w:p>
      <w:pPr>
        <w:pStyle w:val="BodyText"/>
        <w:spacing w:before="5"/>
        <w:rPr>
          <w:sz w:val="28"/>
        </w:rPr>
      </w:pPr>
    </w:p>
    <w:p>
      <w:pPr>
        <w:pStyle w:val="BodyText"/>
        <w:spacing w:before="1"/>
        <w:ind w:left="192" w:right="186"/>
      </w:pPr>
      <w:r>
        <w:rPr/>
        <w:t>permitted to be imported under a licence granted to the owner or controlled by the owner of the licensed premises by, or with the approval of, the Chief Executive Officer of the Australian Customs Service (Customs) or a delegate of Customs in the case of a customs broker.</w:t>
      </w:r>
    </w:p>
    <w:p>
      <w:pPr>
        <w:pStyle w:val="BodyText"/>
        <w:spacing w:before="4"/>
        <w:rPr>
          <w:sz w:val="30"/>
        </w:rPr>
      </w:pPr>
    </w:p>
    <w:p>
      <w:pPr>
        <w:pStyle w:val="BodyText"/>
        <w:spacing w:before="1"/>
        <w:ind w:left="192"/>
      </w:pPr>
      <w:r>
        <w:rPr/>
        <w:t>[signed]</w:t>
      </w:r>
    </w:p>
    <w:p>
      <w:pPr>
        <w:pStyle w:val="BodyText"/>
      </w:pPr>
    </w:p>
    <w:p>
      <w:pPr>
        <w:pStyle w:val="BodyText"/>
        <w:spacing w:before="1"/>
        <w:ind w:left="192" w:right="7784"/>
      </w:pPr>
      <w:r>
        <w:rPr>
          <w:b w:val="0"/>
          <w:i w:val="0"/>
          <w:color w:val="050505"/>
          <w:u w:val="none"/>
        </w:rPr>
        <w:t>Anthony Seebach</w:t>
      </w:r>
      <w:r>
        <w:rPr>
          <w:color w:val="050505"/>
          <w:spacing w:val="-4"/>
        </w:rPr>
      </w:r>
      <w:r>
        <w:rPr>
          <w:color w:val="050505"/>
        </w:rPr>
      </w:r>
    </w:p>
    <w:p>
      <w:pPr>
        <w:pStyle w:val="BodyText"/>
        <w:spacing w:line="229" w:lineRule="exact"/>
        <w:ind w:left="192"/>
      </w:pPr>
      <w:r>
        <w:rPr>
          <w:color w:val="050505"/>
        </w:rPr>
        <w:t>National Manager Cargo Branch</w:t>
      </w:r>
    </w:p>
    <w:p>
      <w:pPr>
        <w:pStyle w:val="BodyText"/>
        <w:ind w:left="192" w:right="5756"/>
      </w:pPr>
      <w:r>
        <w:rPr>
          <w:color w:val="050505"/>
        </w:rPr>
        <w:t>For Chief Executive Officer 13 August 2001</w:t>
      </w:r>
    </w:p>
    <w:p>
      <w:pPr>
        <w:pStyle w:val="BodyText"/>
        <w:spacing w:before="1"/>
      </w:pPr>
    </w:p>
    <w:p>
      <w:pPr>
        <w:pStyle w:val="BodyText"/>
        <w:ind w:left="192"/>
      </w:pPr>
      <w:r>
        <w:rPr>
          <w:color w:val="050505"/>
        </w:rPr>
        <w:t>[Signed]</w:t>
      </w:r>
    </w:p>
    <w:sectPr>
      <w:type w:val="continuous"/>
      <w:pgSz w:w="11910" w:h="16840"/>
      <w:pgMar w:top="0" w:bottom="280" w:left="9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2428" w:right="450" w:hanging="1708"/>
    </w:pPr>
    <w:rPr>
      <w:rFonts w:ascii="Arial" w:hAnsi="Arial" w:eastAsia="Arial" w:cs="Arial"/>
      <w:b/>
      <w:bCs/>
      <w:sz w:val="52"/>
      <w:szCs w:val="52"/>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line="209" w:lineRule="exact"/>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and Trade Policy Branch 31 August 2001</dc:creator>
  <dc:subject>1. Schedule 6/21</dc:subject>
  <dc:title>Schedule 6/21 contains the following goods:</dc:title>
  <dcterms:created xsi:type="dcterms:W3CDTF">2020-12-09T22:20:45Z</dcterms:created>
  <dcterms:modified xsi:type="dcterms:W3CDTF">2020-12-09T22:20:45Z</dcterms:modified>
  <cp:category/>
  <dc:description/>
  <cp:contentStatus/>
  <dc:identifier/>
  <cp:keywords/>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