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rPr>
          <w:rFonts w:ascii="Times New Roman"/>
          <w:sz w:val="18"/>
        </w:rPr>
      </w:pPr>
    </w:p>
    <w:p>
      <w:pPr>
        <w:pStyle w:val="Title"/>
        <w:spacing w:line="264" w:lineRule="auto"/>
      </w:pPr>
      <w:r>
        <w:rPr/>
        <w:drawing>
          <wp:anchor distT="0" distB="0" distL="0" distR="0" allowOverlap="1" layoutInCell="1" locked="0" behindDoc="0" simplePos="0" relativeHeight="15728640">
            <wp:simplePos x="0" y="0"/>
            <wp:positionH relativeFrom="page">
              <wp:posOffset>0</wp:posOffset>
            </wp:positionH>
            <wp:positionV relativeFrom="paragraph">
              <wp:posOffset>-1897053</wp:posOffset>
            </wp:positionV>
            <wp:extent cx="7558405" cy="1459102"/>
            <wp:effectExtent l="0" t="0" r="0" b="0"/>
            <wp:wrapNone/>
            <wp:docPr id="1" name="image1.jpeg" descr="Australian Government Department of Home Affairs and Australian Border Force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8405" cy="1459102"/>
                    </a:xfrm>
                    <a:prstGeom prst="rect">
                      <a:avLst/>
                    </a:prstGeom>
                  </pic:spPr>
                </pic:pic>
              </a:graphicData>
            </a:graphic>
          </wp:anchor>
        </w:drawing>
      </w:r>
      <w:r>
        <w:rPr>
          <w:color w:val="034EA1"/>
        </w:rPr>
        <w:t>Australian Customs Notice 2001 13</w:t>
      </w:r>
    </w:p>
    <w:p>
      <w:pPr>
        <w:spacing w:line="264" w:lineRule="auto" w:before="360"/>
        <w:ind w:left="1133" w:right="1593" w:firstLine="0"/>
        <w:jc w:val="left"/>
        <w:rPr>
          <w:b/>
          <w:sz w:val="28"/>
        </w:rPr>
      </w:pPr>
      <w:r>
        <w:rPr>
          <w:b/>
          <w:i w:val="0"/>
          <w:sz w:val="28"/>
          <w:u w:val="none"/>
        </w:rPr>
        <w:t>NOTICES OF OBJECTION TO IMPORTATION TRADE MARKS ACT 1995</w:t>
      </w:r>
      <w:r>
        <w:rPr>
          <w:rFonts w:ascii="Arial-BoldItalicMT" w:hAnsi="Arial-BoldItalicMT"/>
          <w:b/>
          <w:i/>
          <w:sz w:val="28"/>
        </w:rPr>
      </w:r>
      <w:r>
        <w:rPr>
          <w:b/>
          <w:sz w:val="28"/>
        </w:rPr>
      </w:r>
    </w:p>
    <w:p>
      <w:pPr>
        <w:pStyle w:val="BodyText"/>
        <w:spacing w:line="264" w:lineRule="auto" w:before="118"/>
        <w:ind w:left="1133" w:right="1279"/>
      </w:pPr>
      <w:r>
        <w:rPr/>
        <w:t>The companies referred to in the attached Schedule have given notice under section 132 of the Trade Marks Act 1995 objecting to the importation of the goods listed in the Schedule which have applied to them, or in relation to them, a sign which infringes the relevant trade mark/s. Unless revoked, these Notices of Objection remain in force for a period of two years from the commencement date shown for the particular trade mark.</w:t>
      </w:r>
    </w:p>
    <w:p>
      <w:pPr>
        <w:pStyle w:val="BodyText"/>
        <w:spacing w:before="121"/>
        <w:ind w:left="1133"/>
      </w:pPr>
      <w:r>
        <w:rPr/>
        <w:t>Goods referred to in subsection (1A) are:</w:t>
      </w:r>
    </w:p>
    <w:p>
      <w:pPr>
        <w:pStyle w:val="ListParagraph"/>
        <w:numPr>
          <w:ilvl w:val="0"/>
          <w:numId w:val="1"/>
        </w:numPr>
        <w:tabs>
          <w:tab w:pos="1853" w:val="left" w:leader="none"/>
          <w:tab w:pos="1854" w:val="left" w:leader="none"/>
        </w:tabs>
        <w:spacing w:line="264" w:lineRule="auto" w:before="156" w:after="0"/>
        <w:ind w:left="1853" w:right="1401" w:hanging="360"/>
        <w:jc w:val="left"/>
        <w:rPr>
          <w:sz w:val="20"/>
        </w:rPr>
      </w:pPr>
      <w:r>
        <w:rPr>
          <w:b w:val="0"/>
          <w:i w:val="0"/>
          <w:sz w:val="20"/>
          <w:u w:val="none"/>
        </w:rPr>
        <w:t>in which the registered owner, or in relation to them, a manager, owns or has a controlling interest in the trade mark in respect of which the Notice of Objection is in force; or</w:t>
      </w:r>
      <w:r>
        <w:rPr>
          <w:spacing w:val="-34"/>
          <w:sz w:val="20"/>
        </w:rPr>
      </w:r>
      <w:r>
        <w:rPr>
          <w:sz w:val="20"/>
        </w:rPr>
      </w:r>
    </w:p>
    <w:p>
      <w:pPr>
        <w:pStyle w:val="ListParagraph"/>
        <w:numPr>
          <w:ilvl w:val="0"/>
          <w:numId w:val="1"/>
        </w:numPr>
        <w:tabs>
          <w:tab w:pos="1853" w:val="left" w:leader="none"/>
          <w:tab w:pos="1854" w:val="left" w:leader="none"/>
        </w:tabs>
        <w:spacing w:line="261" w:lineRule="auto" w:before="136" w:after="0"/>
        <w:ind w:left="1853" w:right="1154" w:hanging="360"/>
        <w:jc w:val="left"/>
        <w:rPr>
          <w:sz w:val="20"/>
        </w:rPr>
      </w:pPr>
      <w:r>
        <w:rPr>
          <w:b w:val="0"/>
          <w:i w:val="0"/>
          <w:sz w:val="20"/>
          <w:u w:val="none"/>
        </w:rPr>
        <w:t>in which the registered owner, or in relation to them, a delegate of the registered owner, or in relation to them, a delegate of the manager, has, directly or indirectly, applied to them, or in relation to them, a sign which infringes the relevant trade mark/s.</w:t>
      </w:r>
      <w:r>
        <w:rPr>
          <w:spacing w:val="-29"/>
          <w:sz w:val="20"/>
        </w:rPr>
      </w:r>
      <w:r>
        <w:rPr>
          <w:sz w:val="20"/>
        </w:rPr>
      </w:r>
      <w:r>
        <w:rPr>
          <w:i/>
          <w:sz w:val="20"/>
        </w:rPr>
      </w:r>
      <w:r>
        <w:rPr>
          <w:i/>
          <w:spacing w:val="-14"/>
          <w:sz w:val="20"/>
        </w:rPr>
      </w:r>
      <w:r>
        <w:rPr>
          <w:i/>
          <w:sz w:val="20"/>
        </w:rPr>
      </w:r>
      <w:r>
        <w:rPr>
          <w:sz w:val="20"/>
        </w:rPr>
      </w:r>
    </w:p>
    <w:p>
      <w:pPr>
        <w:pStyle w:val="BodyText"/>
        <w:spacing w:line="264" w:lineRule="auto" w:before="2"/>
        <w:ind w:left="1853" w:right="1388"/>
      </w:pPr>
      <w:r>
        <w:rPr/>
        <w:t>Unless revoked, these Notices of Objection remain in force for a period of two years from the commencement date shown for the particular trade mark.</w:t>
      </w:r>
    </w:p>
    <w:p>
      <w:pPr>
        <w:pStyle w:val="ListParagraph"/>
        <w:numPr>
          <w:ilvl w:val="0"/>
          <w:numId w:val="1"/>
        </w:numPr>
        <w:tabs>
          <w:tab w:pos="1853" w:val="left" w:leader="none"/>
          <w:tab w:pos="1854" w:val="left" w:leader="none"/>
        </w:tabs>
        <w:spacing w:line="264" w:lineRule="auto" w:before="136" w:after="0"/>
        <w:ind w:left="1853" w:right="1174" w:hanging="360"/>
        <w:jc w:val="left"/>
        <w:rPr>
          <w:sz w:val="20"/>
        </w:rPr>
      </w:pPr>
      <w:r>
        <w:rPr>
          <w:b w:val="0"/>
          <w:i w:val="0"/>
          <w:sz w:val="20"/>
          <w:u w:val="none"/>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the Customs Information and Support Centre on 1300 363 263 or the Intellectual Property Rights Group on (02) 6275 6588.</w:t>
      </w:r>
      <w:r>
        <w:rPr>
          <w:spacing w:val="-26"/>
          <w:sz w:val="20"/>
        </w:rPr>
      </w:r>
      <w:r>
        <w:rPr>
          <w:sz w:val="20"/>
        </w:rPr>
      </w:r>
      <w:r>
        <w:rPr>
          <w:spacing w:val="-3"/>
          <w:sz w:val="20"/>
        </w:rPr>
      </w:r>
      <w:r>
        <w:rPr>
          <w:sz w:val="20"/>
        </w:rPr>
      </w:r>
    </w:p>
    <w:p>
      <w:pPr>
        <w:pStyle w:val="ListParagraph"/>
        <w:numPr>
          <w:ilvl w:val="0"/>
          <w:numId w:val="1"/>
        </w:numPr>
        <w:tabs>
          <w:tab w:pos="1853" w:val="left" w:leader="none"/>
          <w:tab w:pos="1854" w:val="left" w:leader="none"/>
        </w:tabs>
        <w:spacing w:line="240" w:lineRule="auto" w:before="131" w:after="0"/>
        <w:ind w:left="1853" w:right="0" w:hanging="361"/>
        <w:jc w:val="left"/>
        <w:rPr>
          <w:sz w:val="20"/>
        </w:rPr>
      </w:pPr>
      <w:r>
        <w:rPr>
          <w:b w:val="0"/>
          <w:i w:val="0"/>
          <w:sz w:val="20"/>
          <w:u w:val="none"/>
        </w:rPr>
        <w:t>Steve Moore National Manager Import/Export Management Branch For Chief Executive Officer</w:t>
      </w:r>
      <w:r>
        <w:rPr>
          <w:spacing w:val="-21"/>
          <w:sz w:val="20"/>
        </w:rPr>
      </w:r>
      <w:r>
        <w:rPr>
          <w:sz w:val="20"/>
        </w:rPr>
      </w:r>
    </w:p>
    <w:p>
      <w:pPr>
        <w:pStyle w:val="BodyText"/>
        <w:spacing w:line="264" w:lineRule="auto" w:before="23"/>
        <w:ind w:left="1853" w:right="1220"/>
      </w:pPr>
      <w:r>
        <w:rPr/>
        <w:t>June 2003</w:t>
      </w:r>
    </w:p>
    <w:p>
      <w:pPr>
        <w:pStyle w:val="BodyText"/>
        <w:tabs>
          <w:tab w:pos="2573" w:val="left" w:leader="none"/>
        </w:tabs>
        <w:spacing w:line="254" w:lineRule="auto" w:before="120"/>
        <w:ind w:left="2573" w:right="1248" w:hanging="360"/>
      </w:pPr>
      <w:r>
        <w:rPr>
          <w:rFonts w:ascii="Courier New"/>
          <w:b w:val="0"/>
          <w:i w:val="0"/>
          <w:u w:val="none"/>
        </w:rPr>
        <w:t>** This notice contains technical amendments to the Customs Notices of Objection Notice 1999/68 dated 17 December 1999 to reflect the importation of goods that were imported on or after 17 December 1999 and not later than 21 March 2000. These changes make it clear that the period for lodging a Notice of Objection shall not commence before 1 March 2000.</w:t>
      </w:r>
      <w:r>
        <w:rPr/>
      </w:r>
    </w:p>
    <w:p>
      <w:pPr>
        <w:pStyle w:val="ListParagraph"/>
        <w:numPr>
          <w:ilvl w:val="0"/>
          <w:numId w:val="1"/>
        </w:numPr>
        <w:tabs>
          <w:tab w:pos="1853" w:val="left" w:leader="none"/>
          <w:tab w:pos="1854" w:val="left" w:leader="none"/>
        </w:tabs>
        <w:spacing w:line="264" w:lineRule="auto" w:before="145" w:after="0"/>
        <w:ind w:left="1853" w:right="1266" w:hanging="360"/>
        <w:jc w:val="left"/>
        <w:rPr>
          <w:sz w:val="20"/>
        </w:rPr>
      </w:pPr>
      <w:r>
        <w:rPr>
          <w:b w:val="0"/>
          <w:i w:val="0"/>
          <w:sz w:val="20"/>
          <w:u w:val="none"/>
        </w:rPr>
        <w:t>Unless revoked, these Notices remain in force for a period of two years from the commencement date shown for the particular trade mark.</w:t>
      </w:r>
      <w:r>
        <w:rPr>
          <w:spacing w:val="-34"/>
          <w:sz w:val="20"/>
        </w:rPr>
      </w:r>
      <w:r>
        <w:rPr>
          <w:sz w:val="20"/>
        </w:rPr>
      </w:r>
    </w:p>
    <w:p>
      <w:pPr>
        <w:pStyle w:val="BodyText"/>
        <w:tabs>
          <w:tab w:pos="2573" w:val="left" w:leader="none"/>
        </w:tabs>
        <w:spacing w:line="254" w:lineRule="auto" w:before="119"/>
        <w:ind w:left="2573" w:right="1409" w:hanging="360"/>
      </w:pPr>
      <w:r>
        <w:rPr>
          <w:rFonts w:ascii="Courier New"/>
          <w:b w:val="0"/>
          <w:i w:val="0"/>
          <w:u w:val="none"/>
        </w:rPr>
        <w:t>Note: For each trade mark, the holder of the licence must ensure that their clients have sufficient time to respond to a Notice of Objection. If a client fails to respond within such time frame, Customs will consider whether or not the client should be made aware of the substance of the representation and, if so, the circumstances surrounding that representation.</w:t>
      </w:r>
      <w:r>
        <w:rPr/>
      </w:r>
      <w:r>
        <w:rPr>
          <w:spacing w:val="-1"/>
        </w:rPr>
      </w:r>
      <w:r>
        <w:rPr/>
      </w:r>
    </w:p>
    <w:p>
      <w:pPr>
        <w:spacing w:after="0" w:line="254" w:lineRule="auto"/>
        <w:sectPr>
          <w:type w:val="continuous"/>
          <w:pgSz w:w="11910" w:h="16840"/>
          <w:pgMar w:top="0" w:bottom="280" w:left="0" w:right="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5"/>
        </w:rPr>
      </w:pPr>
    </w:p>
    <w:p>
      <w:pPr>
        <w:pStyle w:val="Heading1"/>
      </w:pPr>
      <w:r>
        <w:rPr/>
        <w:drawing>
          <wp:anchor distT="0" distB="0" distL="0" distR="0" allowOverlap="1" layoutInCell="1" locked="0" behindDoc="0" simplePos="0" relativeHeight="15729152">
            <wp:simplePos x="0" y="0"/>
            <wp:positionH relativeFrom="page">
              <wp:posOffset>0</wp:posOffset>
            </wp:positionH>
            <wp:positionV relativeFrom="paragraph">
              <wp:posOffset>-1061560</wp:posOffset>
            </wp:positionV>
            <wp:extent cx="7553579" cy="169485"/>
            <wp:effectExtent l="0" t="0" r="0" b="0"/>
            <wp:wrapNone/>
            <wp:docPr id="3" name="image2.png" descr="A close up of a logo  Description generated with high confidence"/>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553579" cy="169485"/>
                    </a:xfrm>
                    <a:prstGeom prst="rect">
                      <a:avLst/>
                    </a:prstGeom>
                  </pic:spPr>
                </pic:pic>
              </a:graphicData>
            </a:graphic>
          </wp:anchor>
        </w:drawing>
      </w:r>
      <w:r>
        <w:rPr/>
        <w:t>Goods</w:t>
      </w:r>
    </w:p>
    <w:p>
      <w:pPr>
        <w:pStyle w:val="BodyText"/>
        <w:spacing w:line="264" w:lineRule="auto" w:before="147"/>
        <w:ind w:left="1133" w:right="1174"/>
      </w:pPr>
      <w:r>
        <w:rPr/>
        <w:t>The applicant has given notice under section 135Z of the Trade Marks Act 1995 objecting to the importation of goods listed in the Schedule which have applied to them, or in relation to them, a sign which infringes the relevant trade mark/s. Unless revoked, these Notices of Objection remain in force for a period of two years from the commencement date shown for the particular trade mark.</w:t>
      </w:r>
    </w:p>
    <w:p>
      <w:pPr>
        <w:pStyle w:val="BodyText"/>
        <w:spacing w:line="264" w:lineRule="auto" w:before="121"/>
        <w:ind w:left="1133" w:right="1415"/>
      </w:pPr>
      <w:r>
        <w:rPr/>
        <w:t>The references in those Notices to Schedule 2 to the Trade Marks Regulations refer to the relevant Schedule 3</w:t>
      </w:r>
    </w:p>
    <w:p>
      <w:pPr>
        <w:pStyle w:val="BodyText"/>
        <w:spacing w:line="266" w:lineRule="auto" w:before="118"/>
        <w:ind w:left="1133" w:right="1279"/>
      </w:pPr>
      <w:r>
        <w:rPr/>
        <w:t>Schedule and each reference to a particular trade mark in that Schedule refers to a particular “class” of goods. Unless the Schedule indicates to the contrary, the particular trade mark relates to a particular class of goods.</w:t>
      </w:r>
    </w:p>
    <w:p>
      <w:pPr>
        <w:pStyle w:val="Heading1"/>
        <w:spacing w:before="114"/>
      </w:pPr>
      <w:r>
        <w:rPr/>
        <w:t>Trade Marks</w:t>
      </w:r>
    </w:p>
    <w:p>
      <w:pPr>
        <w:pStyle w:val="BodyText"/>
        <w:spacing w:line="266" w:lineRule="auto" w:before="148"/>
        <w:ind w:left="1133" w:right="1415"/>
      </w:pPr>
      <w:r>
        <w:rPr/>
        <w:t>Certain trade marks are included in class 28 in Schedule 3 to the Trade Marks Regulations, which are:</w:t>
      </w:r>
    </w:p>
    <w:p>
      <w:pPr>
        <w:pStyle w:val="BodyText"/>
        <w:spacing w:line="264" w:lineRule="auto" w:before="116"/>
        <w:ind w:left="1133" w:right="1674"/>
      </w:pPr>
      <w:r>
        <w:rPr/>
        <w:t xml:space="preserve">Allan Francis Phillips for Phillips New Zealand Ph: (02) 9672 3000 </w:t>
      </w:r>
      <w:hyperlink r:id="rId7">
        <w:r>
          <w:rPr>
            <w:u w:val="single"/>
          </w:rPr>
          <w:t>www.ato.gov.au/tobaccotaxpoint</w:t>
        </w:r>
      </w:hyperlink>
    </w:p>
    <w:p>
      <w:pPr>
        <w:spacing w:line="266" w:lineRule="auto" w:before="118"/>
        <w:ind w:left="1133" w:right="2541" w:firstLine="0"/>
        <w:jc w:val="left"/>
        <w:rPr>
          <w:sz w:val="20"/>
        </w:rPr>
      </w:pPr>
      <w:r>
        <w:rPr>
          <w:b w:val="0"/>
          <w:i/>
          <w:sz w:val="20"/>
          <w:u w:val="none"/>
        </w:rPr>
        <w:t xml:space="preserve">Orthox Pharmaceutical Services Pty Ltd Ph: (02) 9745 3100 </w:t>
      </w:r>
      <w:r>
        <w:rPr>
          <w:i/>
          <w:sz w:val="20"/>
        </w:rPr>
      </w:r>
      <w:r>
        <w:rPr>
          <w:sz w:val="20"/>
        </w:rPr>
      </w:r>
      <w:hyperlink r:id="rId8">
        <w:r>
          <w:rPr>
            <w:sz w:val="20"/>
            <w:u w:val="single"/>
          </w:rPr>
          <w:t>www.legislation.gov.au/Details/C2018A00131</w:t>
        </w:r>
      </w:hyperlink>
    </w:p>
    <w:p>
      <w:pPr>
        <w:pStyle w:val="BodyText"/>
        <w:spacing w:before="4"/>
        <w:rPr>
          <w:sz w:val="12"/>
        </w:rPr>
      </w:pPr>
    </w:p>
    <w:p>
      <w:pPr>
        <w:pStyle w:val="Heading1"/>
      </w:pPr>
      <w:r>
        <w:rPr/>
        <w:t>Trade Marks</w:t>
      </w:r>
    </w:p>
    <w:p>
      <w:pPr>
        <w:pStyle w:val="BodyText"/>
        <w:spacing w:before="148"/>
        <w:ind w:left="1133"/>
      </w:pPr>
      <w:r>
        <w:rPr/>
        <w:t xml:space="preserve">NOLA - skull &amp; crossbones forms seal behind chevron </w:t>
      </w:r>
      <w:hyperlink r:id="rId9">
        <w:r>
          <w:rPr>
            <w:u w:val="single"/>
          </w:rPr>
          <w:t>traderevenue@homeaffairs.gov.au</w:t>
        </w:r>
      </w:hyperlink>
    </w:p>
    <w:p>
      <w:pPr>
        <w:pStyle w:val="BodyText"/>
      </w:pPr>
    </w:p>
    <w:p>
      <w:pPr>
        <w:pStyle w:val="BodyText"/>
      </w:pPr>
    </w:p>
    <w:p>
      <w:pPr>
        <w:pStyle w:val="BodyText"/>
        <w:spacing w:before="4"/>
        <w:rPr>
          <w:sz w:val="29"/>
        </w:rPr>
      </w:pPr>
    </w:p>
    <w:p>
      <w:pPr>
        <w:pStyle w:val="BodyText"/>
        <w:spacing w:line="229" w:lineRule="exact" w:before="93"/>
        <w:ind w:left="1133"/>
      </w:pPr>
      <w:r>
        <w:rPr/>
        <w:t>Goods</w:t>
      </w:r>
    </w:p>
    <w:p>
      <w:pPr>
        <w:pStyle w:val="BodyText"/>
        <w:ind w:left="1133" w:right="9000"/>
      </w:pPr>
      <w:r>
        <w:rPr/>
        <w:t>BENJAMIN &amp; FRIENDS</w:t>
      </w:r>
    </w:p>
    <w:p>
      <w:pPr>
        <w:pStyle w:val="BodyText"/>
        <w:ind w:left="1133" w:right="4702"/>
      </w:pPr>
      <w:r>
        <w:rPr/>
        <w:t>- star, scroll &amp; fleur-de-lis in shield, ornate in scroll</w:t>
      </w:r>
    </w:p>
    <w:p>
      <w:pPr>
        <w:pStyle w:val="BodyText"/>
        <w:spacing w:before="1"/>
        <w:ind w:left="1133"/>
      </w:pPr>
      <w:r>
        <w:rPr/>
        <w:t>BENJAMIN &amp; FRIENDS</w:t>
      </w:r>
    </w:p>
    <w:p>
      <w:pPr>
        <w:pStyle w:val="BodyText"/>
        <w:rPr>
          <w:sz w:val="22"/>
        </w:rPr>
      </w:pPr>
    </w:p>
    <w:p>
      <w:pPr>
        <w:pStyle w:val="BodyText"/>
        <w:spacing w:before="3"/>
        <w:rPr>
          <w:sz w:val="32"/>
        </w:rPr>
      </w:pPr>
    </w:p>
    <w:p>
      <w:pPr>
        <w:pStyle w:val="BodyText"/>
        <w:ind w:left="1133"/>
      </w:pPr>
      <w:r>
        <w:rPr/>
        <w:t>- medallion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8"/>
        </w:rPr>
      </w:pPr>
    </w:p>
    <w:p>
      <w:pPr>
        <w:spacing w:after="0"/>
        <w:rPr>
          <w:sz w:val="28"/>
        </w:rPr>
        <w:sectPr>
          <w:pgSz w:w="11910" w:h="16840"/>
          <w:pgMar w:top="560" w:bottom="280" w:left="0" w:right="0"/>
        </w:sectPr>
      </w:pPr>
    </w:p>
    <w:p>
      <w:pPr>
        <w:spacing w:before="96"/>
        <w:ind w:left="1140" w:right="19" w:firstLine="0"/>
        <w:jc w:val="left"/>
        <w:rPr>
          <w:sz w:val="16"/>
        </w:rPr>
      </w:pPr>
      <w:r>
        <w:rPr>
          <w:sz w:val="16"/>
        </w:rPr>
        <w:t>COURT QUANTIS – triangle with star atop bottle in rect., divided</w:t>
      </w:r>
    </w:p>
    <w:p>
      <w:pPr>
        <w:pStyle w:val="BodyText"/>
        <w:spacing w:before="1"/>
        <w:rPr>
          <w:sz w:val="23"/>
        </w:rPr>
      </w:pPr>
      <w:r>
        <w:rPr/>
        <w:br/>
      </w:r>
      <w:r>
        <w:rPr>
          <w:sz w:val="23"/>
        </w:rPr>
      </w:r>
    </w:p>
    <w:p>
      <w:pPr>
        <w:spacing w:before="0"/>
        <w:ind w:left="1125" w:right="1133" w:firstLine="0"/>
        <w:jc w:val="center"/>
        <w:rPr>
          <w:b/>
          <w:sz w:val="16"/>
        </w:rPr>
      </w:pPr>
      <w:r>
        <w:rPr>
          <w:b w:val="0"/>
          <w:i w:val="0"/>
          <w:sz w:val="16"/>
          <w:u w:val="none"/>
        </w:rPr>
        <w:t>TREATO (622642)</w:t>
      </w:r>
      <w:r>
        <w:rPr>
          <w:b/>
          <w:sz w:val="16"/>
        </w:rPr>
      </w:r>
      <w:r>
        <w:rPr>
          <w:sz w:val="16"/>
        </w:rPr>
      </w:r>
      <w:r>
        <w:rPr>
          <w:b/>
          <w:sz w:val="16"/>
        </w:rPr>
      </w:r>
    </w:p>
    <w:sectPr>
      <w:type w:val="continuous"/>
      <w:pgSz w:w="11910" w:h="16840"/>
      <w:pgMar w:top="0" w:bottom="280" w:left="0" w:right="0"/>
      <w:cols w:num="2" w:equalWidth="0">
        <w:col w:w="3793" w:space="5000"/>
        <w:col w:w="311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 w:name="Courier New">
    <w:altName w:val="Courier New"/>
    <w:charset w:val="0"/>
    <w:family w:val="roma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3" w:hanging="360"/>
      </w:pPr>
      <w:rPr>
        <w:rFonts w:hint="default" w:ascii="Arial" w:hAnsi="Arial" w:eastAsia="Arial" w:cs="Arial"/>
        <w:w w:val="130"/>
        <w:sz w:val="20"/>
        <w:szCs w:val="20"/>
        <w:lang w:val="en-au" w:eastAsia="en-US" w:bidi="ar-SA"/>
      </w:rPr>
    </w:lvl>
    <w:lvl w:ilvl="1">
      <w:start w:val="0"/>
      <w:numFmt w:val="bullet"/>
      <w:lvlText w:val="•"/>
      <w:lvlJc w:val="left"/>
      <w:pPr>
        <w:ind w:left="2580" w:hanging="360"/>
      </w:pPr>
      <w:rPr>
        <w:rFonts w:hint="default"/>
        <w:lang w:val="en-au" w:eastAsia="en-US" w:bidi="ar-SA"/>
      </w:rPr>
    </w:lvl>
    <w:lvl w:ilvl="2">
      <w:start w:val="0"/>
      <w:numFmt w:val="bullet"/>
      <w:lvlText w:val="•"/>
      <w:lvlJc w:val="left"/>
      <w:pPr>
        <w:ind w:left="3616" w:hanging="360"/>
      </w:pPr>
      <w:rPr>
        <w:rFonts w:hint="default"/>
        <w:lang w:val="en-au" w:eastAsia="en-US" w:bidi="ar-SA"/>
      </w:rPr>
    </w:lvl>
    <w:lvl w:ilvl="3">
      <w:start w:val="0"/>
      <w:numFmt w:val="bullet"/>
      <w:lvlText w:val="•"/>
      <w:lvlJc w:val="left"/>
      <w:pPr>
        <w:ind w:left="4652" w:hanging="360"/>
      </w:pPr>
      <w:rPr>
        <w:rFonts w:hint="default"/>
        <w:lang w:val="en-au" w:eastAsia="en-US" w:bidi="ar-SA"/>
      </w:rPr>
    </w:lvl>
    <w:lvl w:ilvl="4">
      <w:start w:val="0"/>
      <w:numFmt w:val="bullet"/>
      <w:lvlText w:val="•"/>
      <w:lvlJc w:val="left"/>
      <w:pPr>
        <w:ind w:left="5688" w:hanging="360"/>
      </w:pPr>
      <w:rPr>
        <w:rFonts w:hint="default"/>
        <w:lang w:val="en-au" w:eastAsia="en-US" w:bidi="ar-SA"/>
      </w:rPr>
    </w:lvl>
    <w:lvl w:ilvl="5">
      <w:start w:val="0"/>
      <w:numFmt w:val="bullet"/>
      <w:lvlText w:val="•"/>
      <w:lvlJc w:val="left"/>
      <w:pPr>
        <w:ind w:left="6725" w:hanging="360"/>
      </w:pPr>
      <w:rPr>
        <w:rFonts w:hint="default"/>
        <w:lang w:val="en-au" w:eastAsia="en-US" w:bidi="ar-SA"/>
      </w:rPr>
    </w:lvl>
    <w:lvl w:ilvl="6">
      <w:start w:val="0"/>
      <w:numFmt w:val="bullet"/>
      <w:lvlText w:val="•"/>
      <w:lvlJc w:val="left"/>
      <w:pPr>
        <w:ind w:left="7761" w:hanging="360"/>
      </w:pPr>
      <w:rPr>
        <w:rFonts w:hint="default"/>
        <w:lang w:val="en-au" w:eastAsia="en-US" w:bidi="ar-SA"/>
      </w:rPr>
    </w:lvl>
    <w:lvl w:ilvl="7">
      <w:start w:val="0"/>
      <w:numFmt w:val="bullet"/>
      <w:lvlText w:val="•"/>
      <w:lvlJc w:val="left"/>
      <w:pPr>
        <w:ind w:left="8797" w:hanging="360"/>
      </w:pPr>
      <w:rPr>
        <w:rFonts w:hint="default"/>
        <w:lang w:val="en-au" w:eastAsia="en-US" w:bidi="ar-SA"/>
      </w:rPr>
    </w:lvl>
    <w:lvl w:ilvl="8">
      <w:start w:val="0"/>
      <w:numFmt w:val="bullet"/>
      <w:lvlText w:val="•"/>
      <w:lvlJc w:val="left"/>
      <w:pPr>
        <w:ind w:left="9833"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spacing w:before="94"/>
      <w:ind w:left="1133"/>
      <w:outlineLvl w:val="1"/>
    </w:pPr>
    <w:rPr>
      <w:rFonts w:ascii="Arial" w:hAnsi="Arial" w:eastAsia="Arial" w:cs="Arial"/>
      <w:b/>
      <w:bCs/>
      <w:sz w:val="22"/>
      <w:szCs w:val="22"/>
      <w:lang w:val="en-au" w:eastAsia="en-US" w:bidi="ar-SA"/>
    </w:rPr>
  </w:style>
  <w:style w:styleId="Title" w:type="paragraph">
    <w:name w:val="Title"/>
    <w:basedOn w:val="Normal"/>
    <w:uiPriority w:val="1"/>
    <w:qFormat/>
    <w:pPr>
      <w:spacing w:before="85"/>
      <w:ind w:left="4741" w:right="1415" w:hanging="3311"/>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6"/>
      <w:ind w:left="1853"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ato.gov.au/tobaccotaxpoint" TargetMode="External"/><Relationship Id="rId8" Type="http://schemas.openxmlformats.org/officeDocument/2006/relationships/hyperlink" Target="http://www.legislation.gov.au/Details/C2018A00131" TargetMode="External"/><Relationship Id="rId9" Type="http://schemas.openxmlformats.org/officeDocument/2006/relationships/hyperlink" Target="mailto:traderevenue@homeaffairs.gov.au"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NOLA (701858) TRI-CLASS (834150) TRI-LIZ (808388)</dc:creator>
  <cp:keywords>4 Pharmaceutical and medicinal preparations and substances; cosmetics, essential oils and hair lotions; hair lotions and hair shampoo; soaps; dentifrices.</cp:keywords>
  <dc:subject>SENTERPRISE A&amp;G (861484) SENSU – grot. kabuki</dc:subject>
  <dc:title>6 Pharmaceutical preparations and substances.</dc:title>
  <dcterms:created xsi:type="dcterms:W3CDTF">2020-12-09T22:29:46Z</dcterms:created>
  <dcterms:modified xsi:type="dcterms:W3CDTF">2020-12-09T22:29:46Z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2018-11-14T00:00:00Z</vt:filetime>
  </property>
  <property fmtid="{D5CDD505-2E9C-101B-9397-08002B2CF9AE}" pid="3" name="LastSaved">
    <vt:filetime>2020-12-09T00:00:00Z</vt:filetime>
  </property>
</Properties>
</file>