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Title"/>
        <w:spacing w:line="321" w:lineRule="auto"/>
      </w:pPr>
      <w:r>
        <w:rPr/>
        <w:pict>
          <v:group style="position:absolute;margin-left:.19992pt;margin-top:-126.534798pt;width:595pt;height:116pt;mso-position-horizontal-relative:page;mso-position-vertical-relative:paragraph;z-index:15728640" coordorigin="4,-2531" coordsize="11900,2320">
            <v:shape style="position:absolute;left:4;top:-2531;width:11900;height:2320" type="#_x0000_t75" alt="Coats of arms " stroked="false">
              <v:imagedata r:id="rId5" o:title=""/>
            </v:shape>
            <v:shape style="position:absolute;left:683;top:-1853;width:1368;height:1015" type="#_x0000_t75" stroked="false">
              <v:imagedata r:id="rId6" o:title=""/>
            </v:shape>
            <v:line style="position:absolute" from="2178,-1215" to="5102,-1215" stroked="true" strokeweight=".748351pt" strokecolor="#ffffff">
              <v:stroke dashstyle="solid"/>
            </v:line>
            <v:shapetype id="_x0000_t202" o:spt="202" coordsize="21600,21600" path="m,l,21600r21600,l21600,xe">
              <v:stroke joinstyle="miter"/>
              <v:path gradientshapeok="t" o:connecttype="rect"/>
            </v:shapetype>
            <v:shape style="position:absolute;left:4;top:-2531;width:11900;height:2320" type="#_x0000_t202" filled="false" stroked="false">
              <v:textbox inset="0,0,0,0">
                <w:txbxContent>
                  <w:p>
                    <w:pPr>
                      <w:spacing w:line="240" w:lineRule="auto" w:before="0"/>
                      <w:rPr>
                        <w:sz w:val="28"/>
                      </w:rPr>
                    </w:pPr>
                  </w:p>
                  <w:p>
                    <w:pPr>
                      <w:spacing w:line="240" w:lineRule="auto" w:before="0"/>
                      <w:rPr>
                        <w:sz w:val="28"/>
                      </w:rPr>
                    </w:pPr>
                  </w:p>
                  <w:p>
                    <w:pPr>
                      <w:spacing w:line="240" w:lineRule="auto" w:before="10"/>
                      <w:rPr>
                        <w:sz w:val="25"/>
                      </w:rPr>
                    </w:pPr>
                  </w:p>
                  <w:p>
                    <w:pPr>
                      <w:spacing w:line="369" w:lineRule="auto" w:before="0"/>
                      <w:ind w:left="2158" w:right="6077" w:firstLine="0"/>
                      <w:jc w:val="left"/>
                      <w:rPr>
                        <w:rFonts w:ascii="Times New Roman"/>
                        <w:b/>
                        <w:sz w:val="26"/>
                      </w:rPr>
                    </w:pPr>
                    <w:r>
                      <w:rPr>
                        <w:rFonts w:ascii="Times New Roman"/>
                        <w:b/>
                        <w:color w:val="FFFFFF"/>
                        <w:spacing w:val="-9"/>
                        <w:sz w:val="26"/>
                      </w:rPr>
                      <w:t>Australian </w:t>
                    </w:r>
                    <w:r>
                      <w:rPr>
                        <w:rFonts w:ascii="Times New Roman"/>
                        <w:b/>
                        <w:color w:val="FFFFFF"/>
                        <w:spacing w:val="-11"/>
                        <w:sz w:val="26"/>
                      </w:rPr>
                      <w:t>Government </w:t>
                    </w:r>
                    <w:r>
                      <w:rPr>
                        <w:rFonts w:ascii="Times New Roman"/>
                        <w:b/>
                        <w:color w:val="FFFFFF"/>
                        <w:spacing w:val="-10"/>
                        <w:sz w:val="26"/>
                      </w:rPr>
                      <w:t>Department </w:t>
                    </w:r>
                    <w:r>
                      <w:rPr>
                        <w:rFonts w:ascii="Times New Roman"/>
                        <w:b/>
                        <w:color w:val="FFFFFF"/>
                        <w:spacing w:val="-6"/>
                        <w:sz w:val="26"/>
                      </w:rPr>
                      <w:t>of </w:t>
                    </w:r>
                    <w:r>
                      <w:rPr>
                        <w:rFonts w:ascii="Times New Roman"/>
                        <w:b/>
                        <w:color w:val="FFFFFF"/>
                        <w:spacing w:val="-10"/>
                        <w:sz w:val="26"/>
                      </w:rPr>
                      <w:t>Home </w:t>
                    </w:r>
                    <w:r>
                      <w:rPr>
                        <w:rFonts w:ascii="Times New Roman"/>
                        <w:b/>
                        <w:color w:val="FFFFFF"/>
                        <w:spacing w:val="-9"/>
                        <w:sz w:val="26"/>
                      </w:rPr>
                      <w:t>Affairs</w:t>
                    </w:r>
                  </w:p>
                </w:txbxContent>
              </v:textbox>
              <w10:wrap type="none"/>
            </v:shape>
            <w10:wrap type="none"/>
          </v:group>
        </w:pict>
      </w:r>
      <w:r>
        <w:rPr>
          <w:color w:val="034EA1"/>
        </w:rPr>
        <w:t>DEPARTMENT OF IMMIGRATION AND BORDER PROTECTION NOTICE</w:t>
      </w:r>
    </w:p>
    <w:p>
      <w:pPr>
        <w:spacing w:before="117"/>
        <w:ind w:left="1214" w:right="1639" w:firstLine="0"/>
        <w:jc w:val="center"/>
        <w:rPr>
          <w:b/>
          <w:sz w:val="28"/>
        </w:rPr>
      </w:pPr>
      <w:r>
        <w:rPr>
          <w:b/>
          <w:sz w:val="28"/>
        </w:rPr>
        <w:t>NOTICE OF OBJECTION TO IMPORTATION TRADE MARKS ACT 1995</w:t>
      </w:r>
    </w:p>
    <w:p>
      <w:pPr>
        <w:pStyle w:val="BodyText"/>
        <w:spacing w:before="7"/>
        <w:ind w:left="0"/>
        <w:rPr>
          <w:b/>
          <w:sz w:val="23"/>
        </w:rPr>
      </w:pPr>
    </w:p>
    <w:p>
      <w:pPr>
        <w:pStyle w:val="BodyText"/>
        <w:ind w:right="1410"/>
      </w:pPr>
      <w:r>
        <w:rPr>
          <w:b w:val="0"/>
          <w:i w:val="0"/>
          <w:u w:val="none"/>
        </w:rPr>
        <w:t>The companies referred to have given notice under Section 132 of the Trade Marks Act 1995 objecting to the importation of the following goods:</w:t>
      </w:r>
      <w:r>
        <w:rPr>
          <w:i/>
        </w:rPr>
      </w:r>
      <w:r>
        <w:rPr/>
      </w:r>
    </w:p>
    <w:p>
      <w:pPr>
        <w:pStyle w:val="BodyText"/>
        <w:spacing w:line="242" w:lineRule="auto" w:before="119"/>
        <w:ind w:right="1398"/>
      </w:pPr>
      <w:r>
        <w:rPr>
          <w:b w:val="0"/>
          <w:i w:val="0"/>
          <w:u w:val="none"/>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Commerce Prohibitions and Restrictions Group in the Australian Customs Service Office in their nearest capital city.</w:t>
      </w:r>
      <w:r>
        <w:rPr>
          <w:i/>
        </w:rPr>
      </w:r>
      <w:r>
        <w:rPr/>
      </w:r>
    </w:p>
    <w:p>
      <w:pPr>
        <w:pStyle w:val="BodyText"/>
        <w:spacing w:before="117"/>
        <w:ind w:right="1320"/>
      </w:pPr>
      <w:r>
        <w:rPr/>
        <w:t xml:space="preserve">Any person wishing to make written representation in respect of any of the aforesaid Notices of Objection should address the correspondence to: </w:t>
      </w:r>
      <w:hyperlink r:id="rId7">
        <w:r>
          <w:rPr>
            <w:u w:val="single"/>
          </w:rPr>
          <w:t>www.legislation.gov.au</w:t>
        </w:r>
        <w:r>
          <w:rPr/>
          <w:t>.</w:t>
        </w:r>
      </w:hyperlink>
    </w:p>
    <w:p>
      <w:pPr>
        <w:pStyle w:val="Heading1"/>
        <w:spacing w:before="113"/>
        <w:jc w:val="left"/>
      </w:pPr>
      <w:r>
        <w:rPr/>
        <w:t>Australian Customs Service Broker Licensing</w:t>
      </w:r>
    </w:p>
    <w:p>
      <w:pPr>
        <w:pStyle w:val="BodyText"/>
        <w:spacing w:before="149"/>
        <w:ind w:right="1487"/>
      </w:pPr>
      <w:r>
        <w:rPr/>
        <w:t>5 Constitution Avenue</w:t>
      </w:r>
    </w:p>
    <w:p>
      <w:pPr>
        <w:pStyle w:val="BodyText"/>
        <w:spacing w:before="119"/>
        <w:ind w:right="1409"/>
      </w:pPr>
      <w:r>
        <w:rPr/>
        <w:t>CANBERRA ACT 2601</w:t>
      </w:r>
    </w:p>
    <w:p>
      <w:pPr>
        <w:pStyle w:val="BodyText"/>
        <w:spacing w:before="121"/>
        <w:ind w:right="1208"/>
      </w:pPr>
      <w:r>
        <w:rPr/>
        <w:t>By 2 December 2002 Broker Licensing Australia is accepting further applications for licences from importers and brokers licensed by the following</w:t>
      </w:r>
    </w:p>
    <w:p>
      <w:pPr>
        <w:pStyle w:val="BodyText"/>
        <w:spacing w:before="119"/>
        <w:ind w:right="1476"/>
      </w:pPr>
      <w:r>
        <w:rPr>
          <w:b w:val="0"/>
          <w:i w:val="0"/>
          <w:u w:val="none"/>
        </w:rPr>
        <w:t>People who have applied to the Chief Executive Officer for a Customs Broker Licence have been advised that the application process has been suspended pending the outcome of a review by the CEO. A list of persons affected by this suspension will be released shortly.</w:t>
      </w:r>
      <w:r>
        <w:rPr>
          <w:i/>
        </w:rPr>
      </w:r>
      <w:r>
        <w:rPr/>
      </w:r>
    </w:p>
    <w:p>
      <w:pPr>
        <w:pStyle w:val="BodyText"/>
        <w:spacing w:before="121"/>
        <w:ind w:right="1248"/>
        <w:jc w:val="both"/>
      </w:pPr>
      <w:r>
        <w:rPr/>
        <w:t>If you have any questions regarding these changes, please contact the Commerce Prohibitions and Restrictions Group in the Australian Customs Service Office in your nearest capital city.</w:t>
      </w:r>
    </w:p>
    <w:p>
      <w:pPr>
        <w:pStyle w:val="Heading1"/>
      </w:pPr>
      <w:r>
        <w:rPr/>
        <w:t>Trade Marks Classification 2012</w:t>
      </w:r>
    </w:p>
    <w:p>
      <w:pPr>
        <w:pStyle w:val="BodyText"/>
        <w:spacing w:before="146"/>
        <w:ind w:right="1181"/>
      </w:pPr>
      <w:r>
        <w:rPr>
          <w:b w:val="0"/>
          <w:i w:val="0"/>
          <w:u w:val="none"/>
        </w:rPr>
        <w:t>The Tariff Concessions Act 1995 provides that goods subject to the control of Customs, or of the Australian Customs and Border Protection Service, that have a ‘Class 4’ or ‘Class 5’ status may be classified to either ‘Inland Sea Cargo’ or ‘Sea Cargo in International Class’ under the Regulations.</w:t>
      </w:r>
      <w:r>
        <w:rPr>
          <w:spacing w:val="-7"/>
        </w:rPr>
      </w:r>
      <w:r>
        <w:rPr/>
      </w:r>
    </w:p>
    <w:p>
      <w:pPr>
        <w:pStyle w:val="BodyText"/>
        <w:spacing w:before="119"/>
        <w:ind w:right="1376"/>
      </w:pPr>
      <w:r>
        <w:rPr/>
        <w:t>For certain goods, this means that they fall under the heading ‘Inland Sea’ in the Schedule to the Regulations or ‘Sea Cargo’ in the tariff subheading ‘Inland Sea’ in the subheading Schedule 3 to the Customs Tariff.</w:t>
      </w:r>
    </w:p>
    <w:p>
      <w:pPr>
        <w:pStyle w:val="Heading1"/>
      </w:pPr>
      <w:r>
        <w:rPr/>
        <w:t>Additional Notices of Objection</w:t>
      </w:r>
    </w:p>
    <w:p>
      <w:pPr>
        <w:pStyle w:val="BodyText"/>
        <w:spacing w:before="147"/>
        <w:ind w:right="1287"/>
      </w:pPr>
      <w:r>
        <w:rPr/>
        <w:t>In addition to those listed in the Attachment to this notice, the companies referred to have given Notice under Section 133 of the Trade Marks Act 1995 objecting to the importation of the following goods:</w:t>
      </w:r>
    </w:p>
    <w:p>
      <w:pPr>
        <w:pStyle w:val="BodyText"/>
        <w:spacing w:line="362" w:lineRule="auto" w:before="122"/>
        <w:ind w:right="1632"/>
      </w:pPr>
      <w:r>
        <w:rPr>
          <w:b w:val="0"/>
          <w:i w:val="0"/>
          <w:u w:val="none"/>
        </w:rPr>
        <w:t>An Australian flag, a state, district or city ball (excepted under section 273A of the</w:t>
      </w:r>
      <w:hyperlink r:id="rId8">
        <w:r>
          <w:rPr>
            <w:u w:val="single"/>
          </w:rPr>
          <w:t>www.abf.gov.au/asbestos</w:t>
        </w:r>
        <w:r>
          <w:rPr/>
          <w:t>.</w:t>
        </w:r>
      </w:hyperlink>
      <w:r>
        <w:rPr/>
      </w:r>
    </w:p>
    <w:p>
      <w:pPr>
        <w:pStyle w:val="BodyText"/>
        <w:spacing w:before="114"/>
        <w:ind w:right="9425"/>
      </w:pPr>
      <w:r>
        <w:rPr/>
        <w:t>Customs Act 1901), or any part of a state, district or city ball;</w:t>
      </w:r>
    </w:p>
    <w:p>
      <w:pPr>
        <w:pStyle w:val="BodyText"/>
        <w:spacing w:line="477" w:lineRule="auto" w:before="1"/>
        <w:ind w:right="7802"/>
      </w:pPr>
      <w:r>
        <w:rPr/>
        <w:t>A striped, horizontal stripe, diamond, or parallelogram;</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ind w:left="708"/>
    </w:pPr>
    <w:rPr>
      <w:rFonts w:ascii="Arial" w:hAnsi="Arial" w:eastAsia="Arial" w:cs="Arial"/>
      <w:sz w:val="20"/>
      <w:szCs w:val="20"/>
      <w:lang w:val="en-au" w:eastAsia="en-US" w:bidi="ar-SA"/>
    </w:rPr>
  </w:style>
  <w:style w:styleId="Heading1" w:type="paragraph">
    <w:name w:val="Heading 1"/>
    <w:basedOn w:val="Normal"/>
    <w:uiPriority w:val="1"/>
    <w:qFormat/>
    <w:pPr>
      <w:spacing w:before="117"/>
      <w:ind w:left="708"/>
      <w:jc w:val="both"/>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219"/>
      <w:ind w:left="1214" w:right="1646"/>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legislation.gov.au/" TargetMode="External"/><Relationship Id="rId8" Type="http://schemas.openxmlformats.org/officeDocument/2006/relationships/hyperlink" Target="http://www.abf.gov.au/asbes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Clothing, footwear, headgear, masquerade wear.</dc:creator>
  <cp:keywords>Clothing, footwear, headgear, masquerade wear.</cp:keywords>
  <dc:subject>Goods specified in Schedule 3 to the Tariff that are:</dc:subject>
  <dc:title>In-line with the provisions of section 125J of the Trade Marks Act 1995, goods that are not goods listed in this Notice but that are </dc:title>
  <dcterms:created xsi:type="dcterms:W3CDTF">2020-12-09T22:36:37Z</dcterms:created>
  <dcterms:modified xsi:type="dcterms:W3CDTF">2020-12-09T22:36:37Z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2019-03-26T00:00:00Z</vt:filetime>
  </property>
  <property fmtid="{D5CDD505-2E9C-101B-9397-08002B2CF9AE}" pid="3" name="Creator">
    <vt:lpwstr>Microsoft® Word 2016</vt:lpwstr>
  </property>
  <property fmtid="{D5CDD505-2E9C-101B-9397-08002B2CF9AE}" pid="4" name="LastSaved">
    <vt:filetime>2020-12-09T00:00:00Z</vt:filetime>
  </property>
</Properties>
</file>