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line="319" w:lineRule="auto"/>
      </w:pPr>
      <w:r>
        <w:rPr/>
        <w:pict>
          <v:group style="position:absolute;margin-left:0pt;margin-top:-138.424805pt;width:594.85pt;height:116pt;mso-position-horizontal-relative:page;mso-position-vertical-relative:paragraph;z-index:15728640" coordorigin="0,-2768" coordsize="11897,2320">
            <v:shape style="position:absolute;left:0;top:-2769;width:11897;height:2320" type="#_x0000_t75" stroked="false">
              <v:imagedata r:id="rId5" o:title=""/>
            </v:shape>
            <v:shape style="position:absolute;left:679;top:-2091;width:1368;height:1015" type="#_x0000_t75" stroked="false">
              <v:imagedata r:id="rId6" o:title=""/>
            </v:shape>
            <v:line style="position:absolute" from="2173,-1453" to="5096,-1453" stroked="true" strokeweight=".748351pt" strokecolor="#ffffff">
              <v:stroke dashstyle="solid"/>
            </v:line>
            <v:shapetype id="_x0000_t202" o:spt="202" coordsize="21600,21600" path="m,l,21600r21600,l21600,xe">
              <v:stroke joinstyle="miter"/>
              <v:path gradientshapeok="t" o:connecttype="rect"/>
            </v:shapetype>
            <v:shape style="position:absolute;left:0;top:-2769;width:11897;height:2320" type="#_x0000_t202" filled="false" stroked="false">
              <v:textbox inset="0,0,0,0">
                <w:txbxContent>
                  <w:p>
                    <w:pPr>
                      <w:spacing w:line="240" w:lineRule="auto" w:before="0"/>
                      <w:rPr>
                        <w:sz w:val="28"/>
                      </w:rPr>
                    </w:pPr>
                  </w:p>
                  <w:p>
                    <w:pPr>
                      <w:spacing w:line="240" w:lineRule="auto" w:before="0"/>
                      <w:rPr>
                        <w:sz w:val="28"/>
                      </w:rPr>
                    </w:pPr>
                  </w:p>
                  <w:p>
                    <w:pPr>
                      <w:spacing w:line="240" w:lineRule="auto" w:before="10"/>
                      <w:rPr>
                        <w:sz w:val="25"/>
                      </w:rPr>
                    </w:pPr>
                  </w:p>
                  <w:p>
                    <w:pPr>
                      <w:spacing w:line="369" w:lineRule="auto" w:before="0"/>
                      <w:ind w:left="2158" w:right="6074" w:firstLine="0"/>
                      <w:jc w:val="left"/>
                      <w:rPr>
                        <w:rFonts w:ascii="Times New Roman"/>
                        <w:b/>
                        <w:sz w:val="26"/>
                      </w:rPr>
                    </w:pPr>
                    <w:r>
                      <w:rPr>
                        <w:rFonts w:ascii="Times New Roman"/>
                        <w:b/>
                        <w:color w:val="FFFFFF"/>
                        <w:spacing w:val="-9"/>
                        <w:sz w:val="26"/>
                      </w:rPr>
                      <w:t>Australian </w:t>
                    </w:r>
                    <w:r>
                      <w:rPr>
                        <w:rFonts w:ascii="Times New Roman"/>
                        <w:b/>
                        <w:color w:val="FFFFFF"/>
                        <w:spacing w:val="-11"/>
                        <w:sz w:val="26"/>
                      </w:rPr>
                      <w:t>Government </w:t>
                    </w:r>
                    <w:r>
                      <w:rPr>
                        <w:rFonts w:ascii="Times New Roman"/>
                        <w:b/>
                        <w:color w:val="FFFFFF"/>
                        <w:spacing w:val="-10"/>
                        <w:sz w:val="26"/>
                      </w:rPr>
                      <w:t>Department </w:t>
                    </w:r>
                    <w:r>
                      <w:rPr>
                        <w:rFonts w:ascii="Times New Roman"/>
                        <w:b/>
                        <w:color w:val="FFFFFF"/>
                        <w:spacing w:val="-6"/>
                        <w:sz w:val="26"/>
                      </w:rPr>
                      <w:t>of </w:t>
                    </w:r>
                    <w:r>
                      <w:rPr>
                        <w:rFonts w:ascii="Times New Roman"/>
                        <w:b/>
                        <w:color w:val="FFFFFF"/>
                        <w:spacing w:val="-10"/>
                        <w:sz w:val="26"/>
                      </w:rPr>
                      <w:t>Home </w:t>
                    </w:r>
                    <w:r>
                      <w:rPr>
                        <w:rFonts w:ascii="Times New Roman"/>
                        <w:b/>
                        <w:color w:val="FFFFFF"/>
                        <w:spacing w:val="-9"/>
                        <w:sz w:val="26"/>
                      </w:rPr>
                      <w:t>Affairs</w:t>
                    </w:r>
                  </w:p>
                </w:txbxContent>
              </v:textbox>
              <w10:wrap type="none"/>
            </v:shape>
            <w10:wrap type="none"/>
          </v:group>
        </w:pict>
      </w:r>
      <w:r>
        <w:rPr>
          <w:color w:val="034EA1"/>
        </w:rPr>
        <w:t>Australian Customs Notice 2002 55</w:t>
      </w:r>
    </w:p>
    <w:p>
      <w:pPr>
        <w:spacing w:line="264" w:lineRule="auto" w:before="124"/>
        <w:ind w:left="2676" w:right="2536" w:firstLine="1"/>
        <w:jc w:val="center"/>
        <w:rPr>
          <w:b/>
          <w:sz w:val="28"/>
        </w:rPr>
      </w:pPr>
      <w:r>
        <w:rPr>
          <w:b/>
          <w:sz w:val="28"/>
        </w:rPr>
        <w:t>AUSTRALIAN CUSTOMS ESTABLISHMENT AND REDUCTION OF THE AGGREGATE IN 1997 (R.3 of Schedule 4)</w:t>
      </w:r>
    </w:p>
    <w:p>
      <w:pPr>
        <w:pStyle w:val="BodyText"/>
        <w:spacing w:before="11"/>
        <w:rPr>
          <w:b/>
          <w:sz w:val="44"/>
        </w:rPr>
      </w:pPr>
    </w:p>
    <w:p>
      <w:pPr>
        <w:pStyle w:val="BodyText"/>
        <w:ind w:left="1132" w:right="1353"/>
      </w:pPr>
      <w:r>
        <w:rPr/>
        <w:t>The Australian Customs Service (Customs) is imposing reduced customs duty rates on certain agricultural and forestry products for the periods 23 July 2002 and 30 June 2002. This change may affect importers of certain products such as seed, orchards, cultivation equipment or seeds.</w:t>
      </w:r>
    </w:p>
    <w:p>
      <w:pPr>
        <w:pStyle w:val="BodyText"/>
        <w:spacing w:before="1"/>
        <w:rPr>
          <w:sz w:val="24"/>
        </w:rPr>
      </w:pPr>
    </w:p>
    <w:p>
      <w:pPr>
        <w:pStyle w:val="BodyText"/>
        <w:ind w:left="1132"/>
      </w:pPr>
      <w:r>
        <w:rPr/>
        <w:t>Existing goods which were subject to the higher duty rates are:</w:t>
      </w:r>
    </w:p>
    <w:p>
      <w:pPr>
        <w:pStyle w:val="BodyText"/>
        <w:spacing w:before="1"/>
        <w:rPr>
          <w:sz w:val="25"/>
        </w:rPr>
      </w:pPr>
    </w:p>
    <w:p>
      <w:pPr>
        <w:pStyle w:val="ListParagraph"/>
        <w:numPr>
          <w:ilvl w:val="0"/>
          <w:numId w:val="1"/>
        </w:numPr>
        <w:tabs>
          <w:tab w:pos="1853" w:val="left" w:leader="none"/>
          <w:tab w:pos="1854" w:val="left" w:leader="none"/>
        </w:tabs>
        <w:spacing w:line="240" w:lineRule="auto" w:before="0" w:after="0"/>
        <w:ind w:left="1853" w:right="0" w:hanging="361"/>
        <w:jc w:val="left"/>
        <w:rPr>
          <w:sz w:val="20"/>
        </w:rPr>
      </w:pPr>
      <w:r>
        <w:rPr>
          <w:sz w:val="20"/>
        </w:rPr>
        <w:t>mowing systems</w:t>
      </w:r>
    </w:p>
    <w:p>
      <w:pPr>
        <w:pStyle w:val="ListParagraph"/>
        <w:numPr>
          <w:ilvl w:val="0"/>
          <w:numId w:val="1"/>
        </w:numPr>
        <w:tabs>
          <w:tab w:pos="1853" w:val="left" w:leader="none"/>
          <w:tab w:pos="1854" w:val="left" w:leader="none"/>
        </w:tabs>
        <w:spacing w:line="240" w:lineRule="auto" w:before="24" w:after="0"/>
        <w:ind w:left="1853" w:right="0" w:hanging="361"/>
        <w:jc w:val="left"/>
        <w:rPr>
          <w:sz w:val="20"/>
        </w:rPr>
      </w:pPr>
      <w:r>
        <w:rPr>
          <w:sz w:val="20"/>
        </w:rPr>
        <w:t>mowing machines</w:t>
      </w:r>
    </w:p>
    <w:p>
      <w:pPr>
        <w:pStyle w:val="ListParagraph"/>
        <w:numPr>
          <w:ilvl w:val="0"/>
          <w:numId w:val="1"/>
        </w:numPr>
        <w:tabs>
          <w:tab w:pos="1853" w:val="left" w:leader="none"/>
          <w:tab w:pos="1854" w:val="left" w:leader="none"/>
        </w:tabs>
        <w:spacing w:line="240" w:lineRule="auto" w:before="25" w:after="0"/>
        <w:ind w:left="1853" w:right="0" w:hanging="361"/>
        <w:jc w:val="left"/>
        <w:rPr>
          <w:sz w:val="20"/>
        </w:rPr>
      </w:pPr>
      <w:r>
        <w:rPr>
          <w:sz w:val="20"/>
        </w:rPr>
        <w:t>stewing systems</w:t>
      </w:r>
    </w:p>
    <w:p>
      <w:pPr>
        <w:pStyle w:val="ListParagraph"/>
        <w:numPr>
          <w:ilvl w:val="0"/>
          <w:numId w:val="1"/>
        </w:numPr>
        <w:tabs>
          <w:tab w:pos="1853" w:val="left" w:leader="none"/>
          <w:tab w:pos="1854" w:val="left" w:leader="none"/>
        </w:tabs>
        <w:spacing w:line="240" w:lineRule="auto" w:before="24" w:after="0"/>
        <w:ind w:left="1853" w:right="0" w:hanging="361"/>
        <w:jc w:val="left"/>
        <w:rPr>
          <w:sz w:val="20"/>
        </w:rPr>
      </w:pPr>
      <w:r>
        <w:rPr>
          <w:b w:val="0"/>
          <w:i w:val="0"/>
          <w:sz w:val="20"/>
          <w:u w:val="none"/>
        </w:rPr>
        <w:t>dung-waste containers</w:t>
      </w:r>
      <w:r>
        <w:rPr>
          <w:spacing w:val="-1"/>
          <w:sz w:val="20"/>
        </w:rPr>
      </w:r>
      <w:r>
        <w:rPr>
          <w:sz w:val="20"/>
        </w:rPr>
      </w:r>
    </w:p>
    <w:p>
      <w:pPr>
        <w:pStyle w:val="BodyText"/>
        <w:spacing w:before="1"/>
        <w:rPr>
          <w:sz w:val="25"/>
        </w:rPr>
      </w:pPr>
    </w:p>
    <w:p>
      <w:pPr>
        <w:spacing w:before="0"/>
        <w:ind w:left="1132" w:right="1141" w:firstLine="0"/>
        <w:jc w:val="left"/>
        <w:rPr>
          <w:sz w:val="20"/>
        </w:rPr>
      </w:pPr>
      <w:r>
        <w:rPr>
          <w:b w:val="0"/>
          <w:i w:val="0"/>
          <w:sz w:val="20"/>
          <w:u w:val="none"/>
        </w:rPr>
        <w:t>Note: The rates referenced above are in Australian dollars. Unless otherwise indicated rates for Singaporean, US, Thai, Chilean, AANZ, Trans-Pacific Partnership, Malaysian, Korean, Japanese, Chinese and Hong Kong originating goods are Free. A 5% customs duty is also imposed on certain Australian originating goods.</w:t>
      </w:r>
      <w:r>
        <w:rPr>
          <w:i/>
          <w:sz w:val="20"/>
        </w:rPr>
      </w:r>
      <w:r>
        <w:rPr>
          <w:sz w:val="20"/>
        </w:rPr>
      </w:r>
    </w:p>
    <w:p>
      <w:pPr>
        <w:pStyle w:val="BodyText"/>
        <w:spacing w:line="264" w:lineRule="auto" w:before="119"/>
        <w:ind w:left="1132" w:right="1628"/>
      </w:pPr>
      <w:r>
        <w:rPr>
          <w:b w:val="0"/>
          <w:i w:val="0"/>
          <w:u w:val="none"/>
        </w:rPr>
        <w:t xml:space="preserve">When assessing the application of the new rates of duty, Customs has made no change to the rates of duty applicable to goods subject to tariff subheadings 1101.01, 1101.02 or 1101.03. </w:t>
      </w:r>
      <w:r>
        <w:rPr>
          <w:i/>
        </w:rPr>
      </w:r>
      <w:r>
        <w:rPr/>
      </w:r>
      <w:hyperlink r:id="rId7">
        <w:r>
          <w:rPr>
            <w:color w:val="007AC3"/>
            <w:u w:val="single" w:color="007AC3"/>
          </w:rPr>
          <w:t>https://www.abf.gov.au/importing-exporting-and-</w:t>
        </w:r>
      </w:hyperlink>
      <w:r>
        <w:rPr>
          <w:color w:val="007AC3"/>
        </w:rPr>
      </w:r>
      <w:hyperlink r:id="rId7">
        <w:r>
          <w:rPr>
            <w:color w:val="007AC3"/>
            <w:u w:val="single" w:color="007AC3"/>
          </w:rPr>
          <w:t>manufacturing/tariff-classification/current-tariff/schedule-11</w:t>
        </w:r>
      </w:hyperlink>
    </w:p>
    <w:p>
      <w:pPr>
        <w:pStyle w:val="BodyText"/>
        <w:spacing w:before="6"/>
        <w:rPr>
          <w:sz w:val="26"/>
        </w:rPr>
      </w:pPr>
    </w:p>
    <w:p>
      <w:pPr>
        <w:pStyle w:val="BodyText"/>
        <w:spacing w:before="93"/>
        <w:ind w:left="1132"/>
      </w:pPr>
      <w:r>
        <w:rPr/>
        <w:t>New tariff subheadings 1101.02 and 1101.03 have been introduced to take effect from the commencement of the Australian Customs Service (Customs) rate reductions.</w:t>
      </w:r>
    </w:p>
    <w:p>
      <w:pPr>
        <w:pStyle w:val="BodyText"/>
        <w:spacing w:before="10"/>
        <w:rPr>
          <w:sz w:val="19"/>
        </w:rPr>
      </w:pPr>
    </w:p>
    <w:p>
      <w:pPr>
        <w:pStyle w:val="BodyText"/>
        <w:ind w:left="1132"/>
      </w:pPr>
      <w:r>
        <w:rPr>
          <w:u w:val="single"/>
        </w:rPr>
        <w:t>1101.02</w:t>
      </w:r>
    </w:p>
    <w:p>
      <w:pPr>
        <w:pStyle w:val="BodyText"/>
        <w:ind w:left="1132" w:right="7501"/>
      </w:pPr>
      <w:r>
        <w:rPr/>
        <w:t>AUSTRALIAN CUSTOMS BROKERS AND TRADE AGENTS COMPANY</w:t>
      </w:r>
    </w:p>
    <w:p>
      <w:pPr>
        <w:pStyle w:val="BodyText"/>
        <w:spacing w:before="1"/>
        <w:ind w:left="1132"/>
      </w:pPr>
      <w:r>
        <w:rPr/>
        <w:t>Excise TCO (R.5 of Schedule 4)</w:t>
      </w:r>
    </w:p>
    <w:p>
      <w:pPr>
        <w:pStyle w:val="BodyText"/>
        <w:spacing w:before="1"/>
        <w:ind w:left="1132"/>
      </w:pPr>
      <w:r>
        <w:rPr/>
        <w:t xml:space="preserve">1101.02A: </w:t>
      </w:r>
      <w:hyperlink r:id="rId8">
        <w:r>
          <w:rPr>
            <w:u w:val="single"/>
          </w:rPr>
          <w:t>trade.policy1@border.gov.au</w:t>
        </w:r>
      </w:hyperlink>
    </w:p>
    <w:p>
      <w:pPr>
        <w:pStyle w:val="BodyText"/>
      </w:pPr>
    </w:p>
    <w:p>
      <w:pPr>
        <w:pStyle w:val="BodyText"/>
      </w:pPr>
    </w:p>
    <w:p>
      <w:pPr>
        <w:pStyle w:val="BodyText"/>
        <w:spacing w:before="1"/>
        <w:rPr>
          <w:sz w:val="27"/>
        </w:rPr>
      </w:pPr>
    </w:p>
    <w:p>
      <w:pPr>
        <w:pStyle w:val="BodyText"/>
        <w:spacing w:before="93"/>
        <w:ind w:left="1132" w:right="9419"/>
      </w:pPr>
      <w:r>
        <w:rPr>
          <w:b w:val="0"/>
          <w:i w:val="0"/>
          <w:u w:val="none"/>
        </w:rPr>
        <w:t>25%, and $0.30 per litre of alcohol (3.38%)</w:t>
      </w:r>
      <w:r>
        <w:rPr>
          <w:spacing w:val="-3"/>
        </w:rPr>
      </w:r>
    </w:p>
    <w:p>
      <w:pPr>
        <w:pStyle w:val="BodyText"/>
        <w:spacing w:before="1"/>
        <w:ind w:left="1132" w:right="8196"/>
      </w:pPr>
      <w:r>
        <w:rPr>
          <w:b w:val="0"/>
          <w:i w:val="0"/>
          <w:u w:val="none"/>
        </w:rPr>
        <w:t>$0.30 per litre of alcohol (3.38%)</w:t>
      </w:r>
      <w:r>
        <w:rPr>
          <w:spacing w:val="-3"/>
        </w:rPr>
      </w:r>
      <w:r>
        <w:rPr/>
      </w:r>
      <w:r>
        <w:rPr>
          <w:spacing w:val="-3"/>
        </w:rPr>
      </w:r>
      <w:r>
        <w:rPr/>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3" w:hanging="360"/>
      </w:pPr>
      <w:rPr>
        <w:rFonts w:hint="default" w:ascii="Arial" w:hAnsi="Arial" w:eastAsia="Arial" w:cs="Arial"/>
        <w:w w:val="130"/>
        <w:sz w:val="20"/>
        <w:szCs w:val="20"/>
        <w:lang w:val="en-au" w:eastAsia="en-US" w:bidi="ar-SA"/>
      </w:rPr>
    </w:lvl>
    <w:lvl w:ilvl="1">
      <w:start w:val="0"/>
      <w:numFmt w:val="bullet"/>
      <w:lvlText w:val="•"/>
      <w:lvlJc w:val="left"/>
      <w:pPr>
        <w:ind w:left="2864" w:hanging="360"/>
      </w:pPr>
      <w:rPr>
        <w:rFonts w:hint="default"/>
        <w:lang w:val="en-au" w:eastAsia="en-US" w:bidi="ar-SA"/>
      </w:rPr>
    </w:lvl>
    <w:lvl w:ilvl="2">
      <w:start w:val="0"/>
      <w:numFmt w:val="bullet"/>
      <w:lvlText w:val="•"/>
      <w:lvlJc w:val="left"/>
      <w:pPr>
        <w:ind w:left="3869" w:hanging="360"/>
      </w:pPr>
      <w:rPr>
        <w:rFonts w:hint="default"/>
        <w:lang w:val="en-au" w:eastAsia="en-US" w:bidi="ar-SA"/>
      </w:rPr>
    </w:lvl>
    <w:lvl w:ilvl="3">
      <w:start w:val="0"/>
      <w:numFmt w:val="bullet"/>
      <w:lvlText w:val="•"/>
      <w:lvlJc w:val="left"/>
      <w:pPr>
        <w:ind w:left="4873" w:hanging="360"/>
      </w:pPr>
      <w:rPr>
        <w:rFonts w:hint="default"/>
        <w:lang w:val="en-au" w:eastAsia="en-US" w:bidi="ar-SA"/>
      </w:rPr>
    </w:lvl>
    <w:lvl w:ilvl="4">
      <w:start w:val="0"/>
      <w:numFmt w:val="bullet"/>
      <w:lvlText w:val="•"/>
      <w:lvlJc w:val="left"/>
      <w:pPr>
        <w:ind w:left="5878" w:hanging="360"/>
      </w:pPr>
      <w:rPr>
        <w:rFonts w:hint="default"/>
        <w:lang w:val="en-au" w:eastAsia="en-US" w:bidi="ar-SA"/>
      </w:rPr>
    </w:lvl>
    <w:lvl w:ilvl="5">
      <w:start w:val="0"/>
      <w:numFmt w:val="bullet"/>
      <w:lvlText w:val="•"/>
      <w:lvlJc w:val="left"/>
      <w:pPr>
        <w:ind w:left="6883" w:hanging="360"/>
      </w:pPr>
      <w:rPr>
        <w:rFonts w:hint="default"/>
        <w:lang w:val="en-au" w:eastAsia="en-US" w:bidi="ar-SA"/>
      </w:rPr>
    </w:lvl>
    <w:lvl w:ilvl="6">
      <w:start w:val="0"/>
      <w:numFmt w:val="bullet"/>
      <w:lvlText w:val="•"/>
      <w:lvlJc w:val="left"/>
      <w:pPr>
        <w:ind w:left="7887" w:hanging="360"/>
      </w:pPr>
      <w:rPr>
        <w:rFonts w:hint="default"/>
        <w:lang w:val="en-au" w:eastAsia="en-US" w:bidi="ar-SA"/>
      </w:rPr>
    </w:lvl>
    <w:lvl w:ilvl="7">
      <w:start w:val="0"/>
      <w:numFmt w:val="bullet"/>
      <w:lvlText w:val="•"/>
      <w:lvlJc w:val="left"/>
      <w:pPr>
        <w:ind w:left="8892" w:hanging="360"/>
      </w:pPr>
      <w:rPr>
        <w:rFonts w:hint="default"/>
        <w:lang w:val="en-au" w:eastAsia="en-US" w:bidi="ar-SA"/>
      </w:rPr>
    </w:lvl>
    <w:lvl w:ilvl="8">
      <w:start w:val="0"/>
      <w:numFmt w:val="bullet"/>
      <w:lvlText w:val="•"/>
      <w:lvlJc w:val="left"/>
      <w:pPr>
        <w:ind w:left="9897"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222"/>
      <w:ind w:left="1497" w:right="1363"/>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24"/>
      <w:ind w:left="1853" w:hanging="361"/>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s://www.abf.gov.au/importing-exporting-and-manufacturing/tariff-classification/current-tariff/schedule-11" TargetMode="External"/><Relationship Id="rId8" Type="http://schemas.openxmlformats.org/officeDocument/2006/relationships/hyperlink" Target="mailto:trade.policy1@border.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 and $0.30 per litre of alcohol (3.38%)</dc:creator>
  <cp:keywords>6%, and $0.30 per litre of alcohol (3.38%)</cp:keywords>
  <dc:subject>6%, and $0.30 per litre of alcohol (3.38%)</dc:subject>
  <dc:title>6%, and $0.30 per litre of alcohol (3.38%)</dc:title>
  <dcterms:created xsi:type="dcterms:W3CDTF">2020-12-09T22:47:23Z</dcterms:created>
  <dcterms:modified xsi:type="dcterms:W3CDTF">2020-12-09T22:47:23Z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2019-03-26T00:00:00Z</vt:filetime>
  </property>
  <property fmtid="{D5CDD505-2E9C-101B-9397-08002B2CF9AE}" pid="3" name="Creator">
    <vt:lpwstr>Microsoft® Word 2016</vt:lpwstr>
  </property>
  <property fmtid="{D5CDD505-2E9C-101B-9397-08002B2CF9AE}" pid="4" name="LastSaved">
    <vt:filetime>2020-12-09T00:00:00Z</vt:filetime>
  </property>
</Properties>
</file>