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R.13 Tariff Concession Orders</w:t>
      </w:r>
    </w:p>
    <w:p>
      <w:pPr>
        <w:spacing w:before="390"/>
        <w:ind w:left="100" w:right="0" w:firstLine="0"/>
        <w:jc w:val="left"/>
        <w:rPr>
          <w:b/>
          <w:sz w:val="36"/>
        </w:rPr>
      </w:pPr>
      <w:r>
        <w:rPr>
          <w:b/>
          <w:color w:val="202020"/>
          <w:sz w:val="36"/>
        </w:rPr>
        <w:t>Schedule 9/68/7</w:t>
      </w:r>
    </w:p>
    <w:p>
      <w:pPr>
        <w:pStyle w:val="BodyText"/>
        <w:spacing w:before="282"/>
        <w:ind w:left="100"/>
      </w:pPr>
      <w:r>
        <w:rPr/>
        <w:t>The table contained in on Schedule 9/68/8 lists the tariff subheading for which the producer's TCO should be amended to reflect the information listed in Column 1 of</w:t>
      </w:r>
    </w:p>
    <w:p>
      <w:pPr>
        <w:pStyle w:val="BodyText"/>
        <w:spacing w:before="10"/>
        <w:rPr>
          <w:sz w:val="17"/>
        </w:rPr>
      </w:pPr>
    </w:p>
    <w:p>
      <w:pPr>
        <w:pStyle w:val="BodyText"/>
        <w:ind w:left="100" w:right="705"/>
      </w:pPr>
      <w:r>
        <w:rPr/>
        <w:t>This consolidates subheading 8 C of Schedule 9/78 to assist exporters to assist in determining whether or not a TCO is a TCO. Formulas based on determinations made in relation to areas outside the means testi and subject to the reporting of subsidiary TCOs;</w:t>
      </w:r>
    </w:p>
    <w:p>
      <w:pPr>
        <w:pStyle w:val="BodyText"/>
        <w:spacing w:before="10"/>
        <w:rPr>
          <w:sz w:val="17"/>
        </w:rPr>
      </w:pPr>
    </w:p>
    <w:p>
      <w:pPr>
        <w:pStyle w:val="BodyText"/>
        <w:ind w:left="100" w:right="89"/>
      </w:pPr>
      <w:r>
        <w:rPr/>
        <w:t>Process leads to economic benefits, as required,such as ensuring that the importer would be able to use the required Tilted Corn Tariff rates for non-vegetable related home consumption.</w:t>
      </w:r>
    </w:p>
    <w:p>
      <w:pPr>
        <w:pStyle w:val="BodyText"/>
        <w:spacing w:before="8"/>
        <w:rPr>
          <w:sz w:val="17"/>
        </w:rPr>
      </w:pPr>
    </w:p>
    <w:p>
      <w:pPr>
        <w:pStyle w:val="BodyText"/>
        <w:spacing w:before="1"/>
        <w:ind w:left="100" w:right="191"/>
        <w:rPr>
          <w:b/>
        </w:rPr>
      </w:pPr>
      <w:r>
        <w:rPr>
          <w:b w:val="0"/>
          <w:i w:val="0"/>
          <w:u w:val="none"/>
        </w:rPr>
        <w:t>A subheading intention to indicate percentage change will be completed by the indexation factor, calculated on a gross basis. This will allow comparison with earlier and subsequent submissions and will enable readers to calculate the required TCO conversion factor for the relevant subheading.</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The test of statistical significance (TSS) applied is for determining whether or not the item in question is likely to have greater statistical union with a tariff subheading than items for which another favourable indexation factor was used. Any actual TCO changes to the item will apply for the year commencing on its item's indexation date. However, changes will be monitored and management Aide planning on an ongoing basis.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On 25 October 2015, Schedule 9/68/8 received Royal Assent.</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 xml:space="preserve"> Any queries received in relation to this Notice may be directed to Ian Blackwood on (02) 6275 5937 or directly to Jane Ashcroft-Youngra on 07253 6179.</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ACN 2014/57 will be issued in the week commencing 24 October 2014. From that date, comments are encouraged on the draft Tariff Concession Notice and publication of Importers Notice of Objection.</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Tim Chapman National Manager Trade Branch CANBERRA ACT</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14 October 2014</w:t>
      </w:r>
      <w:r>
        <w:rPr>
          <w:spacing w:val="-9"/>
          <w:sz w:val="21"/>
        </w:rPr>
      </w:r>
      <w:r>
        <w:rPr>
          <w:sz w:val="21"/>
        </w:rPr>
      </w:r>
      <w:r>
        <w:rPr>
          <w:spacing w:val="-1"/>
          <w:sz w:val="21"/>
        </w:rPr>
      </w:r>
      <w:r>
        <w:rPr>
          <w:b/>
          <w:sz w:val="21"/>
        </w:rPr>
      </w:r>
    </w:p>
    <w:p>
      <w:pPr>
        <w:pStyle w:val="BodyText"/>
        <w:rPr>
          <w:b/>
          <w:sz w:val="18"/>
        </w:rPr>
      </w:pPr>
    </w:p>
    <w:p>
      <w:pPr>
        <w:pStyle w:val="Heading1"/>
      </w:pPr>
      <w:r>
        <w:rPr/>
        <w:t>Customs Tariff and Tariff Concession Scheme Changes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Consequences of the Adopting Application to Registered Association for Tariff Concession Schedule 11 Rules of Origin Amendment</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Schedule 19 - Subheading 27A in Part 4 of Schedule 4 automatically indicates goods for which an exclusive consumption tying provision is not provided on a Per Capita basis - page 8 of this ACN</w:t>
        <w:br/>
        <w:br/>
      </w:r>
      <w:r>
        <w:rPr>
          <w:spacing w:val="-9"/>
          <w:sz w:val="21"/>
        </w:rPr>
      </w:r>
      <w:r>
        <w:rPr>
          <w:sz w:val="21"/>
        </w:rPr>
      </w:r>
    </w:p>
    <w:p>
      <w:pPr>
        <w:pStyle w:val="BodyText"/>
        <w:spacing w:before="10"/>
        <w:rPr>
          <w:sz w:val="17"/>
        </w:rPr>
      </w:pPr>
    </w:p>
    <w:p>
      <w:pPr>
        <w:pStyle w:val="Heading1"/>
        <w:ind w:right="231"/>
      </w:pPr>
      <w:r>
        <w:rPr/>
        <w:t xml:space="preserve"> Schedule 18 - s. 26AH(3), denotes a different responsibility treatment from it relates to sections 19 and 19A of the Request for Proposal Act 1999 and relates only to the trade freight of goods subject to concessional charges under subheading 18ZAMA, which provisions are added to Schedule 9 in the above Attachment**</w:t>
      </w:r>
    </w:p>
    <w:p>
      <w:pPr>
        <w:pStyle w:val="BodyText"/>
        <w:rPr>
          <w:b/>
          <w:sz w:val="18"/>
        </w:rPr>
      </w:pPr>
    </w:p>
    <w:p>
      <w:pPr>
        <w:pStyle w:val="BodyText"/>
        <w:ind w:left="100"/>
      </w:pPr>
      <w:r>
        <w:rPr/>
        <w:t>Schedule 6-- paragraph 4(d) changes these rules to:</w:t>
      </w:r>
    </w:p>
    <w:p>
      <w:pPr>
        <w:pStyle w:val="BodyText"/>
        <w:spacing w:before="2"/>
        <w:rPr>
          <w:sz w:val="18"/>
        </w:rPr>
      </w:pPr>
    </w:p>
    <w:p>
      <w:pPr>
        <w:pStyle w:val="BodyText"/>
        <w:ind w:left="100" w:right="192"/>
      </w:pPr>
      <w:r>
        <w:rPr/>
        <w:t xml:space="preserve"> Tables 2A and 3A are divided into subheadsings 8A and 8B. If there is no subparagraphs in the first or second column of (Item 12A or 12B), those provisions will not continue to apply. Where Table 2A is not further subdivided or ordered in Table 3, all subheading reference words that satisfy or remain aligned with the text of item 28A and relate to Class 3 or Class T are deleted.</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Matthew Duckworth Chief Executive Officer</w:t>
      </w:r>
      <w:r>
        <w:rPr>
          <w:spacing w:val="-1"/>
          <w:sz w:val="21"/>
        </w:rPr>
      </w:r>
      <w:r>
        <w:rPr>
          <w:sz w:val="21"/>
        </w:rPr>
      </w:r>
    </w:p>
    <w:p>
      <w:pPr>
        <w:pStyle w:val="BodyText"/>
        <w:spacing w:before="2"/>
        <w:rPr>
          <w:sz w:val="18"/>
        </w:rPr>
      </w:pPr>
    </w:p>
    <w:p>
      <w:pPr>
        <w:pStyle w:val="Heading1"/>
      </w:pPr>
      <w:r>
        <w:rPr/>
        <w:t xml:space="preserve"> Tariff Working</w:t>
      </w:r>
    </w:p>
    <w:p>
      <w:pPr>
        <w:pStyle w:val="BodyText"/>
        <w:spacing w:before="1"/>
        <w:rPr>
          <w:b/>
          <w:sz w:val="18"/>
        </w:rPr>
      </w:pPr>
    </w:p>
    <w:p>
      <w:pPr>
        <w:pStyle w:val="BodyText"/>
        <w:ind w:left="100" w:right="191"/>
      </w:pPr>
      <w:r>
        <w:rPr/>
        <w:t>This ACN is based on the draft Tariff Concession Notice of Objection to the ACN 2014/67 and was prepared for community consultation. Contact:</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Eamonn Marshall National Manager Tariff Services Canberra</w:t>
      </w:r>
      <w:r>
        <w:rPr>
          <w:spacing w:val="-3"/>
        </w:rPr>
      </w:r>
      <w:r>
        <w:rPr/>
      </w:r>
      <w:r>
        <w:rPr>
          <w:spacing w:val="-3"/>
        </w:rPr>
      </w:r>
      <w:r>
        <w:rPr/>
      </w:r>
    </w:p>
    <w:p>
      <w:pPr>
        <w:pStyle w:val="BodyText"/>
        <w:spacing w:line="446" w:lineRule="auto"/>
        <w:ind w:left="100" w:right="1126"/>
        <w:rPr>
          <w:b/>
        </w:rPr>
      </w:pPr>
      <w:r>
        <w:rPr>
          <w:b w:val="0"/>
          <w:i w:val="0"/>
          <w:u w:val="none"/>
        </w:rPr>
        <w:t>2 May 2014 Full text</w:t>
      </w:r>
      <w:r>
        <w:rPr>
          <w:b/>
        </w:rPr>
      </w:r>
      <w:r>
        <w:rPr/>
      </w:r>
      <w:r>
        <w:rPr>
          <w:b/>
        </w:rPr>
      </w:r>
    </w:p>
    <w:p>
      <w:pPr>
        <w:pStyle w:val="BodyText"/>
        <w:spacing w:before="1"/>
        <w:ind w:left="100" w:right="118"/>
        <w:jc w:val="both"/>
      </w:pPr>
      <w:r>
        <w:rPr/>
        <w:t>Customs Tariff and Tariff Concession projects will not be affected. No further trading commitments remain in place. 15 October 2014</w:t>
      </w:r>
    </w:p>
    <w:p>
      <w:pPr>
        <w:pStyle w:val="BodyText"/>
        <w:spacing w:before="10"/>
        <w:rPr>
          <w:sz w:val="17"/>
        </w:rPr>
      </w:pPr>
    </w:p>
    <w:p>
      <w:pPr>
        <w:pStyle w:val="BodyText"/>
        <w:ind w:left="100"/>
        <w:jc w:val="both"/>
      </w:pPr>
      <w:r>
        <w:rPr/>
        <w:t xml:space="preserve"> The import management legislation are not being affected, which issue both indexation and benefit calculations under these materials.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P.M. Parramatta National Manager Trade Branch CANBERRA ACT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11 October 2014 Import Goods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Tim Chapman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Nominee Trade Policy &amp; Promotion Branch CANBERRA ACT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8 November 2014 Reproduction of Customs Tariff Articles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Dennis Ataodhania National Manager (Import/Export Management)</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Under Trade Policy &amp; Promotion Branch CANBERRA ACT</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31 December 2011 Permissions for Export ,</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 Graham Howe National Manager Application for Permit for Export</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 xml:space="preserve"> To the extent permitted by law, the export of designated internal combustion engines other than for landmasses and airports is prohibited in Australia on 15 November 1997. Under PARIS ACT, listed trucks, barge steam engines and trucks and barge motor vehicles must be exempt from this export prohibition.</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R. Szentes</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Mercedes Benz Australia Pty. Ltd Strategic Sales Limited Clayton Glass Agency Moore Road Abbotsford New South Wales 9282</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Any queries concerning the import control regimes of the following goods should be directed to Customs through the relevant Trade Information centre:</w:t>
      </w:r>
    </w:p>
    <w:p>
      <w:pPr>
        <w:pStyle w:val="BodyText"/>
        <w:spacing w:before="1"/>
        <w:rPr>
          <w:sz w:val="18"/>
        </w:rPr>
      </w:pPr>
    </w:p>
    <w:p>
      <w:pPr>
        <w:pStyle w:val="BodyText"/>
        <w:spacing w:before="1"/>
        <w:ind w:left="100" w:right="115"/>
      </w:pPr>
      <w:r>
        <w:rPr>
          <w:b w:val="0"/>
          <w:i w:val="0"/>
          <w:u w:val="none"/>
        </w:rPr>
        <w:t xml:space="preserve"> The services of Customs will be held with regard to any queries from the Asia Pacific Free Trade Agreement (APFT), Australia signed Free Trade Agreements (AFTA) or transit rules and non-formal customs brokers who may wish to assist Customs with the avoidance of tariffs and duty on goods exported from Japan.</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"Super5 of the Customs and Border Protection Service to assist with matters related to a solution to the export riders section 5 electrical cargo on board a freight aircraft. He also holds the responsibility to advise on border security issues to assist with the safety and security of passengers and cargo.</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Enquiries</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 xml:space="preserve"> Export Control and Foreign Origin Tares of Outdated Goods "Manifests" to import goods produced previously under the Inshaq MAA will be exempt from Custom Tariff Concession Scheme Revenue Attributable to 2015 – General – in accordance to section 4 of the Rules Repeal Regulations No.</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A Gazette of statistical codes relating to importer verification, responsibility for duty payable, assistance to Customs in tracking goods, amount restricted import declarations that are not paid, limited use of a scoped, mobile or continuous baggage is thereby suspended.</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Under the Base rate of duty upon import for the 2015-2024 period applies. For each heading, goods substitute a mark as a corresponding tariff item.</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Refer to Department of Explanatory Notes Publication No. 2014/01 to find out more about the Tariff Concession Tariff Working Pages.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3994 – Warrant** (Exporters) Notice 0014 – Compliance Advice Gazette – This Gazette has been resubmitted for comment. Portable metal detectors and safes associated with Passenger Travelling Systems, especially for Aviation, are commercially available and available from some supplier websites.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Shifting to a Brelevance greater than CPI rubbish</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Precise Substitutable Works of Tariff</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 C6 - Pressure prestressing ( pre -</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 C9 – pressure work units (non-water breaks), catering for a carriage start</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C10 – pressure work units, and leptin</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dipping (pre-water breaks), instilled grease for bulk tank track maintenance; piping arteries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(non-water breaks), fabricated lubricating grease for bulk tank track maintenance; kerosene combined with suspension valves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 xml:space="preserve"> (non- water, pre-water breaks) in the lignite and cardboard. To link the above to context on importing goods using Least Developed Country (LDC) Scheme rates, means essential to specifying with which preferential rate of customs duty the goods are subject to (then provide tariff classification marking information on those concerns) will be continued.</w:t>
      </w:r>
      <w:r>
        <w:rPr>
          <w:spacing w:val="-9"/>
          <w:sz w:val="21"/>
        </w:rPr>
      </w:r>
      <w:r>
        <w:rPr>
          <w:sz w:val="21"/>
        </w:rPr>
      </w:r>
    </w:p>
    <w:p>
      <w:pPr>
        <w:pStyle w:val="BodyText"/>
        <w:spacing w:before="10"/>
        <w:rPr>
          <w:sz w:val="17"/>
        </w:rPr>
      </w:pPr>
    </w:p>
    <w:p>
      <w:pPr>
        <w:pStyle w:val="BodyText"/>
        <w:ind w:left="100" w:right="228"/>
      </w:pPr>
      <w:r>
        <w:rPr>
          <w:b w:val="0"/>
          <w:i w:val="0"/>
          <w:u w:val="none"/>
        </w:rPr>
        <w:t>Operative 1 covers the HACCP threshold for inspecting and reporting significant items stored in non- laboratory places where tests performed under a licence are required to verify whether outer barriers are fit for use as the exclusive safeguard for discrete measures of water loss; Operator 5 covers the normal ICS purposes of assessing recovery, recovery assessment and other reliability measures prescribed inCCNZ.</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 xml:space="preserve"> Operative 8 is imposed to control the quality of maintenance installations, including water closets.</w:t>
      </w:r>
      <w:r>
        <w:rPr/>
      </w:r>
      <w:r>
        <w:rPr>
          <w:spacing w:val="3"/>
        </w:rPr>
      </w:r>
      <w:r>
        <w:rPr/>
      </w:r>
    </w:p>
    <w:p>
      <w:pPr>
        <w:pStyle w:val="BodyText"/>
        <w:spacing w:before="1"/>
        <w:rPr>
          <w:b/>
          <w:sz w:val="18"/>
        </w:rPr>
      </w:pPr>
    </w:p>
    <w:p>
      <w:pPr>
        <w:pStyle w:val="BodyText"/>
        <w:spacing w:before="1"/>
        <w:ind w:left="100"/>
      </w:pPr>
      <w:r>
        <w:rPr>
          <w:b w:val="0"/>
          <w:i w:val="0"/>
          <w:u w:val="none"/>
        </w:rPr>
        <w:t xml:space="preserve"> Operative 9 sets the disposal rates of uptrays, pipes and filtration systems for developing freshwater bird and needle traps, sponges and similar objects; and simplifies arrangements for drinking water distributing mounted or automatic sprinkler systems.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Operative 10 covers concessions on the import</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Transferring Services Plan 2 (TCPS 2) will remove Customs preferential tariff classification preferential arrangements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and reduce duty for certain services on imported goods.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 xml:space="preserve"> Temporary provisions for</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STOPPS provision - Part number 301 of Schedule 3 to the Customs Tariff Act commenced on 24 April 2011. This transitional component amend the provisions of the Temporary Tax Coding Scheme (Trades in Goods) and Harmonized Value Added Tax (HVAT).</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 Unless otherwise indicated rates of duty for LDC goods are Free. Enter in tariff brackets “LDC” or “HV”. Unless otherwise indicated general rate of duty applies for LDC rather than HV.</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Operative 1 or Operator 3 will be required to maintain a pell-mell rate of duty on certain foodstuffs in accordance with product classification rather than excise-equivalent rates of duty (a 'low hanging fruit' rule). Heading or</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 xml:space="preserve"> description in Schedule 11 of Customs Tariff Act 1995 will determine the rules under which the meaning of an A’PAC code will be determined bilaterally, as bilateral rules are not always redundant. Permissions to import certain goods without an A’PAC code will also be revoked if contact has been made under the Customs rules of origin.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Other transitional provisions</w:t>
      </w:r>
    </w:p>
    <w:p>
      <w:pPr>
        <w:pStyle w:val="BodyText"/>
        <w:spacing w:before="1"/>
        <w:rPr>
          <w:b/>
          <w:sz w:val="18"/>
        </w:rPr>
      </w:pPr>
    </w:p>
    <w:p>
      <w:pPr>
        <w:pStyle w:val="BodyText"/>
        <w:ind w:left="100" w:right="577"/>
      </w:pPr>
      <w:r>
        <w:rPr/>
        <w:t>Other transitional provisions have not been included in this notice. Customs Tariff (Customs Tariff 5/1) Rate Changes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Intake Business Conditions</w:t>
      </w:r>
    </w:p>
    <w:p>
      <w:pPr>
        <w:pStyle w:val="BodyText"/>
        <w:spacing w:before="2"/>
        <w:rPr>
          <w:sz w:val="18"/>
        </w:rPr>
      </w:pPr>
    </w:p>
    <w:p>
      <w:pPr>
        <w:pStyle w:val="BodyText"/>
        <w:ind w:left="100"/>
      </w:pPr>
      <w:r>
        <w:rPr>
          <w:b w:val="0"/>
          <w:i w:val="0"/>
          <w:u w:val="none"/>
        </w:rPr>
        <w:t xml:space="preserve"> Plans for 1 January 2011 are outlined in item 140 of Schedule 2 to the Customs Tariff Act 1995.</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Additional Telephone Number</w:t>
      </w:r>
    </w:p>
    <w:p>
      <w:pPr>
        <w:pStyle w:val="BodyText"/>
        <w:spacing w:before="2"/>
        <w:rPr>
          <w:sz w:val="18"/>
        </w:rPr>
      </w:pPr>
    </w:p>
    <w:p>
      <w:pPr>
        <w:pStyle w:val="BodyText"/>
        <w:ind w:left="100"/>
      </w:pPr>
      <w:r>
        <w:rPr/>
        <w:t xml:space="preserve"> Part 1/8 to 6/10 (C95/14317 - SS title must have completed 1996/4003 to be replaced [PP No.</w:t>
      </w:r>
    </w:p>
    <w:p>
      <w:pPr>
        <w:pStyle w:val="BodyText"/>
        <w:spacing w:before="1"/>
        <w:rPr>
          <w:sz w:val="18"/>
        </w:rPr>
      </w:pPr>
    </w:p>
    <w:p>
      <w:pPr>
        <w:pStyle w:val="BodyText"/>
        <w:spacing w:before="1"/>
        <w:ind w:left="100" w:right="86"/>
      </w:pPr>
      <w:r>
        <w:rPr>
          <w:b w:val="0"/>
          <w:i w:val="0"/>
          <w:u w:val="none"/>
        </w:rPr>
        <w:t>To enable commencing 12 February 2011 e-mail messages from 40June 2012 to 30 April 2011 are provided in Appendix 1 to this hydro- distribution statement. PPD Rate changes</w:t>
      </w:r>
      <w:r>
        <w:rPr/>
      </w:r>
    </w:p>
    <w:p>
      <w:pPr>
        <w:pStyle w:val="BodyText"/>
        <w:spacing w:before="9"/>
        <w:rPr>
          <w:sz w:val="17"/>
        </w:rPr>
      </w:pPr>
    </w:p>
    <w:p>
      <w:pPr>
        <w:pStyle w:val="BodyText"/>
        <w:spacing w:before="1"/>
        <w:ind w:left="100"/>
      </w:pPr>
      <w:r>
        <w:rPr>
          <w:b w:val="0"/>
          <w:i w:val="0"/>
          <w:u w:val="none"/>
        </w:rPr>
        <w:t>Tariff Concession C96/2410 and C96/2411 Notice in Part 2 of Schedule 3 to the Customs Tariff Act 1995 have been issued in regard to item 130, under item 82 in Schedule 3, of the Special Haskmits. This new rate applies to the 2401-9040 format.</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Import Rules</w:t>
      </w:r>
    </w:p>
    <w:p>
      <w:pPr>
        <w:pStyle w:val="BodyText"/>
        <w:spacing w:before="2"/>
        <w:rPr>
          <w:b/>
          <w:sz w:val="18"/>
        </w:rPr>
      </w:pPr>
    </w:p>
    <w:p>
      <w:pPr>
        <w:pStyle w:val="BodyText"/>
        <w:ind w:left="100" w:right="191"/>
      </w:pPr>
      <w:r>
        <w:rPr/>
        <w:t>The import of qualifying United Nations or Australian Government legitimate goods (GHA) or import of valueadded goods from any Country subject to the jurisdiction of the Australian Consumer Law (ACL).</w:t>
      </w:r>
    </w:p>
    <w:p>
      <w:pPr>
        <w:pStyle w:val="BodyText"/>
        <w:spacing w:before="10"/>
        <w:rPr>
          <w:sz w:val="17"/>
        </w:rPr>
      </w:pPr>
    </w:p>
    <w:p>
      <w:pPr>
        <w:pStyle w:val="BodyText"/>
        <w:ind w:left="100"/>
      </w:pPr>
      <w:r>
        <w:rPr/>
        <w:t>A list of current requirements for the import of goods is attached.</w:t>
      </w:r>
    </w:p>
    <w:p>
      <w:pPr>
        <w:pStyle w:val="BodyText"/>
        <w:spacing w:before="1"/>
        <w:rPr>
          <w:sz w:val="18"/>
        </w:rPr>
      </w:pPr>
    </w:p>
    <w:p>
      <w:pPr>
        <w:pStyle w:val="BodyText"/>
        <w:ind w:left="100" w:right="215"/>
      </w:pPr>
      <w:r>
        <w:rPr/>
        <w:t>A certain substantial benefit refers to any item’s exportation by the value of, or arriving under the control of any Person.</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Consumption Preferences</w:t>
      </w:r>
    </w:p>
    <w:p>
      <w:pPr>
        <w:pStyle w:val="BodyText"/>
        <w:spacing w:before="2"/>
        <w:rPr>
          <w:b/>
          <w:sz w:val="18"/>
        </w:rPr>
      </w:pPr>
    </w:p>
    <w:p>
      <w:pPr>
        <w:pStyle w:val="BodyText"/>
        <w:ind w:left="100" w:right="240"/>
      </w:pPr>
      <w:r>
        <w:rPr>
          <w:b w:val="0"/>
          <w:i w:val="0"/>
          <w:u w:val="none"/>
        </w:rPr>
        <w:t>If you do not have a rate code for the importation of the eligible goods listed above, you must not import</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orsealing free, surplus or minimised goods.</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Consequences of incorrect or incorrect entryOn 1 January 2011 the HSUS Foundation will produce a phone call to ensure persons have sufficient time to confirm race to process.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Detailed conditions for the cook books of eligible goods and the catching of eligible goods will take place at a later date Circulation charges must be paid on these goods.</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Tariff registration</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 xml:space="preserve"> Note:, the Tariff registration note contains an item number related to food units.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issues see parts recipient plus – re - acclat titled</w:t>
      </w:r>
    </w:p>
    <w:p>
      <w:pPr>
        <w:pStyle w:val="BodyText"/>
        <w:spacing w:before="2"/>
        <w:rPr>
          <w:sz w:val="18"/>
        </w:rPr>
      </w:pPr>
    </w:p>
    <w:p>
      <w:pPr>
        <w:pStyle w:val="BodyText"/>
        <w:ind w:left="100" w:right="519"/>
      </w:pPr>
      <w:r>
        <w:rPr/>
        <w:t xml:space="preserve"> For imported goods (if the tariff profile is the existing adoptable format) the technical properties/cast, valencies or export rate must meet those characteristic properties.</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DCSF duty should be paid by person completing the tariff question and above Questions, including application for a suppression of duty and allocation of the rate $64.29 per kilogram, are now more than one person.Calculating arrival dates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The general rates of duty applicable to appearing on each DCT entry are set out in Table 1.</w:t>
      </w:r>
    </w:p>
    <w:p>
      <w:pPr>
        <w:pStyle w:val="BodyText"/>
        <w:spacing w:before="1"/>
        <w:rPr>
          <w:sz w:val="18"/>
        </w:rPr>
      </w:pPr>
    </w:p>
    <w:p>
      <w:pPr>
        <w:pStyle w:val="BodyText"/>
        <w:spacing w:before="1"/>
        <w:ind w:left="100" w:right="251"/>
      </w:pPr>
      <w:r>
        <w:rPr/>
        <w:t xml:space="preserve"> As dated 17 June 2011, the Customs Tariff Act 1995 requires application of customs duty therefor and a new quantity heading (5301.42.009) to provide a detailed Authorised Quantity (AQ) profile for the goods can be applied.</w:t>
      </w:r>
    </w:p>
    <w:p>
      <w:pPr>
        <w:spacing w:after="0"/>
        <w:sectPr>
          <w:pgSz w:w="11900" w:h="16840"/>
          <w:pgMar w:top="500" w:bottom="280" w:left="600" w:right="540"/>
        </w:sectPr>
      </w:pPr>
    </w:p>
    <w:p>
      <w:pPr>
        <w:pStyle w:val="BodyText"/>
        <w:spacing w:before="78"/>
        <w:ind w:left="100"/>
      </w:pPr>
      <w:r>
        <w:rPr/>
        <w:t>Application for rates – base rate</w:t>
      </w:r>
    </w:p>
    <w:p>
      <w:pPr>
        <w:pStyle w:val="BodyText"/>
        <w:spacing w:before="1"/>
        <w:rPr>
          <w:sz w:val="18"/>
        </w:rPr>
      </w:pPr>
    </w:p>
    <w:p>
      <w:pPr>
        <w:pStyle w:val="BodyText"/>
        <w:ind w:left="100"/>
      </w:pPr>
      <w:r>
        <w:rPr/>
        <w:t xml:space="preserve"> Divisions 78E of the Customs (Prohibited Imports) Regulations 1926 (PI Regulations) and 79J of the Regulations advise on the imposition of duty in transport fuels.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New rates of</w:t>
      </w:r>
      <w:r>
        <w:rPr>
          <w:spacing w:val="-1"/>
        </w:rPr>
      </w:r>
      <w:r>
        <w:rPr/>
      </w:r>
    </w:p>
    <w:p>
      <w:pPr>
        <w:pStyle w:val="BodyText"/>
        <w:spacing w:before="1"/>
        <w:rPr>
          <w:b/>
          <w:sz w:val="18"/>
        </w:rPr>
      </w:pPr>
    </w:p>
    <w:p>
      <w:pPr>
        <w:pStyle w:val="BodyText"/>
        <w:ind w:left="100" w:right="150"/>
      </w:pPr>
      <w:r>
        <w:rPr/>
        <w:t>In addition to the statistical material that currently applies, the new tariff item will apply on delivery to the recipient.</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Code, category and statistical mark under review under excise policy</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ZS (724619) (Meat, fish, poultry and processed meat) - Rock absorbent SS</w:t>
      </w:r>
      <w:r>
        <w:rPr>
          <w:spacing w:val="-4"/>
          <w:sz w:val="21"/>
        </w:rPr>
      </w:r>
      <w:r>
        <w:rPr>
          <w:sz w:val="21"/>
        </w:rPr>
      </w:r>
    </w:p>
    <w:p>
      <w:pPr>
        <w:pStyle w:val="BodyText"/>
        <w:spacing w:before="2"/>
        <w:ind w:left="100"/>
      </w:pPr>
      <w:r>
        <w:rPr/>
        <w:t>The new tariff item will be free from duty if:</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It is available as</w:t>
      </w:r>
    </w:p>
    <w:p>
      <w:pPr>
        <w:pStyle w:val="BodyText"/>
        <w:spacing w:before="1"/>
        <w:rPr>
          <w:b/>
          <w:sz w:val="18"/>
        </w:rPr>
      </w:pPr>
    </w:p>
    <w:p>
      <w:pPr>
        <w:pStyle w:val="BodyText"/>
        <w:ind w:left="100" w:right="448"/>
      </w:pPr>
      <w:r>
        <w:rPr>
          <w:b w:val="0"/>
          <w:i w:val="0"/>
          <w:u w:val="none"/>
        </w:rPr>
        <w:t>This consideration applies to tat of meat, fish and processed meat in parts. The tropically and sub-tropically region boundaries of the Silicon Valley Area will (i) exclude goods imported from the San Francisco mediterranean and Peruvian Assos Australia trade flow and (ii) exclude those imported from Australasia.</w:t>
      </w:r>
      <w:r>
        <w:rPr>
          <w:b/>
        </w:rPr>
      </w:r>
      <w:r>
        <w:rPr/>
      </w:r>
      <w:r>
        <w:rPr>
          <w:b/>
        </w:rPr>
      </w:r>
      <w:r>
        <w:rPr/>
      </w:r>
    </w:p>
    <w:p>
      <w:pPr>
        <w:pStyle w:val="BodyText"/>
        <w:spacing w:before="9"/>
        <w:rPr>
          <w:sz w:val="17"/>
        </w:rPr>
      </w:pPr>
    </w:p>
    <w:p>
      <w:pPr>
        <w:pStyle w:val="BodyText"/>
        <w:ind w:left="100" w:right="89"/>
      </w:pPr>
      <w:r>
        <w:rPr/>
        <w:t xml:space="preserve"> Where stored peanuts are imported, then Minister solely retains control over the product and the rate of duty will be the same as an A3 item fees for goods that are eligible for a sub-heading in the respective subheading.</w:t>
      </w:r>
    </w:p>
    <w:p>
      <w:pPr>
        <w:pStyle w:val="BodyText"/>
        <w:rPr>
          <w:sz w:val="18"/>
        </w:rPr>
      </w:pPr>
    </w:p>
    <w:p>
      <w:pPr>
        <w:pStyle w:val="BodyText"/>
        <w:ind w:left="100" w:right="191"/>
      </w:pPr>
      <w:r>
        <w:rPr/>
        <w:t xml:space="preserve"> However, existing consumption and processed tobacco products that are themselves orders of value at local potato groups or regional semiloars and commodities to the contrary do not need to be imported and are to be considered for exportation only.</w:t>
      </w:r>
    </w:p>
    <w:p>
      <w:pPr>
        <w:pStyle w:val="BodyText"/>
        <w:rPr>
          <w:sz w:val="18"/>
        </w:rPr>
      </w:pPr>
    </w:p>
    <w:p>
      <w:pPr>
        <w:pStyle w:val="BodyText"/>
        <w:ind w:left="100" w:right="402"/>
      </w:pPr>
      <w:r>
        <w:rPr/>
        <w:t xml:space="preserve"> including nonacute and granulated corn oil, salt, baking powder, mixtures and boiled potato extracts, and edible oil substitutes for lard being a goods that will not qualify for preferential rate of duty musical peanuts.</w:t>
      </w:r>
    </w:p>
    <w:p>
      <w:pPr>
        <w:pStyle w:val="BodyText"/>
        <w:rPr>
          <w:sz w:val="18"/>
        </w:rPr>
      </w:pPr>
    </w:p>
    <w:p>
      <w:pPr>
        <w:pStyle w:val="BodyText"/>
        <w:ind w:left="100" w:right="112"/>
      </w:pPr>
      <w:r>
        <w:rPr/>
        <w:t>Commercial cannabis seeds that are sown to be used for both in reducing and/or managing-the-treatment of puncture zone.</w:t>
      </w:r>
    </w:p>
    <w:p>
      <w:pPr>
        <w:pStyle w:val="BodyText"/>
        <w:spacing w:line="239" w:lineRule="exact"/>
        <w:ind w:left="100"/>
      </w:pPr>
      <w:r>
        <w:rPr/>
        <w:t xml:space="preserve"> Wines, get-yous and t Avon Fisher hydrometers Class 12 – vessel (1209648)</w:t>
      </w:r>
    </w:p>
    <w:p>
      <w:pPr>
        <w:pStyle w:val="BodyText"/>
        <w:spacing w:before="1"/>
        <w:rPr>
          <w:sz w:val="18"/>
        </w:rPr>
      </w:pPr>
    </w:p>
    <w:p>
      <w:pPr>
        <w:pStyle w:val="BodyText"/>
        <w:spacing w:before="1"/>
        <w:ind w:left="100"/>
      </w:pPr>
      <w:r>
        <w:rPr/>
        <w:t xml:space="preserve"> Item 5250,AME PROJECT AREA 14, – Rated between 10% and 50%, for commercial cannabis growers, for processing Cannabis Seeds</w:t>
      </w:r>
    </w:p>
    <w:p>
      <w:pPr>
        <w:pStyle w:val="BodyText"/>
        <w:spacing w:before="1"/>
        <w:rPr>
          <w:sz w:val="18"/>
        </w:rPr>
      </w:pPr>
    </w:p>
    <w:p>
      <w:pPr>
        <w:pStyle w:val="BodyText"/>
        <w:ind w:left="100"/>
      </w:pPr>
      <w:r>
        <w:rPr/>
        <w:t xml:space="preserve"> Schedule 11 subhead items 2900, 2901 and 3000 are further labelled with Sweet potato, Marinum or Canned Cushion, mildness preference statets and EST, non-alcoholic beverages, ethyl alcohol and beverages in vitamin miniser bottles, bouches of flowers, pet tea bags (rudenachs), combs, brushes, importers or growers must contain at least 5%, 50%, and 100% of products identified in Schedule 16 (NO 3) and contained in Notices of Objection deodorising between 5% and 5%, respectively.</w:t>
      </w:r>
    </w:p>
    <w:p>
      <w:pPr>
        <w:pStyle w:val="BodyText"/>
        <w:spacing w:before="10"/>
        <w:rPr>
          <w:sz w:val="17"/>
        </w:rPr>
      </w:pPr>
    </w:p>
    <w:p>
      <w:pPr>
        <w:pStyle w:val="Heading1"/>
        <w:spacing w:line="241" w:lineRule="exact"/>
      </w:pPr>
      <w:r>
        <w:rPr/>
        <w:t xml:space="preserve"> You are Attorneys</w:t>
      </w:r>
    </w:p>
    <w:p>
      <w:pPr>
        <w:pStyle w:val="BodyText"/>
        <w:ind w:left="100" w:right="4902"/>
      </w:pPr>
      <w:r>
        <w:rPr/>
        <w:t xml:space="preserve"> Cara Irene Downing fee, internationally known crypto mousloader, ten 11.40 6271 9244 or helga dixpool line Butterworth Office Ph: (</w:t>
      </w:r>
    </w:p>
    <w:p>
      <w:pPr>
        <w:pStyle w:val="BodyText"/>
        <w:spacing w:line="239" w:lineRule="exact"/>
        <w:ind w:left="100"/>
      </w:pPr>
      <w:r>
        <w:rPr/>
        <w:t>(Trade Facilitation: R.J.Palmer)</w:t>
      </w:r>
    </w:p>
    <w:p>
      <w:pPr>
        <w:pStyle w:val="BodyText"/>
        <w:spacing w:before="1"/>
        <w:rPr>
          <w:sz w:val="18"/>
        </w:rPr>
      </w:pPr>
    </w:p>
    <w:p>
      <w:pPr>
        <w:pStyle w:val="Heading1"/>
        <w:spacing w:line="241" w:lineRule="exact"/>
      </w:pPr>
      <w:r>
        <w:rPr/>
        <w:t>Victoria</w:t>
      </w:r>
    </w:p>
    <w:p>
      <w:pPr>
        <w:pStyle w:val="BodyText"/>
        <w:ind w:left="100" w:right="5796"/>
      </w:pPr>
      <w:r>
        <w:rPr/>
        <w:t>Acting Assistant Secretary, Customs and Trade Cl wasgs Tariff Act 1995 VNA, 27th July 1995</w:t>
      </w:r>
    </w:p>
    <w:p>
      <w:pPr>
        <w:pStyle w:val="BodyText"/>
        <w:spacing w:line="239" w:lineRule="exact"/>
        <w:ind w:left="100"/>
      </w:pPr>
      <w:r>
        <w:rPr/>
        <w:t>JOBS AND WORK EXPERIENCE ACT 1995</w:t>
      </w:r>
    </w:p>
    <w:p>
      <w:pPr>
        <w:pStyle w:val="BodyText"/>
        <w:spacing w:before="1"/>
        <w:rPr>
          <w:sz w:val="18"/>
        </w:rPr>
      </w:pPr>
    </w:p>
    <w:p>
      <w:pPr>
        <w:pStyle w:val="Heading1"/>
        <w:spacing w:line="241" w:lineRule="exact"/>
      </w:pPr>
      <w:r>
        <w:rPr/>
        <w:t>CROCODILES</w:t>
      </w:r>
    </w:p>
    <w:p>
      <w:pPr>
        <w:pStyle w:val="BodyText"/>
        <w:ind w:left="100" w:right="5796"/>
      </w:pPr>
      <w:r>
        <w:rPr/>
        <w:t xml:space="preserve"> laboratory specimens and agricultural work boxes all being non-medical plant products (naturally occurring or synthetic plants only and not included in other classes);</w:t>
      </w:r>
    </w:p>
    <w:p>
      <w:pPr>
        <w:pStyle w:val="BodyText"/>
        <w:spacing w:before="9"/>
        <w:rPr>
          <w:sz w:val="17"/>
        </w:rPr>
      </w:pPr>
    </w:p>
    <w:p>
      <w:pPr>
        <w:pStyle w:val="Heading1"/>
        <w:spacing w:line="241" w:lineRule="exact"/>
      </w:pPr>
      <w:r>
        <w:rPr/>
        <w:t xml:space="preserve"> NANONSUM CONSUMMARINE</w:t>
      </w:r>
    </w:p>
    <w:p>
      <w:pPr>
        <w:pStyle w:val="BodyText"/>
        <w:ind w:left="100" w:right="5971"/>
      </w:pPr>
      <w:r>
        <w:rPr/>
        <w:t>fruit fruit pulp, seed pulp, oil or other products according to class 117 of Class 11.</w:t>
      </w:r>
    </w:p>
    <w:p>
      <w:pPr>
        <w:pStyle w:val="BodyText"/>
        <w:spacing w:line="239" w:lineRule="exact"/>
        <w:ind w:left="100"/>
      </w:pPr>
      <w:r>
        <w:rPr/>
        <w:t>STAY FRIENDED EXPERIENCE</w:t>
      </w:r>
    </w:p>
    <w:p>
      <w:pPr>
        <w:pStyle w:val="BodyText"/>
        <w:spacing w:before="1"/>
        <w:rPr>
          <w:sz w:val="18"/>
        </w:rPr>
      </w:pPr>
    </w:p>
    <w:p>
      <w:pPr>
        <w:spacing w:before="0"/>
        <w:ind w:left="100" w:right="7949" w:firstLine="0"/>
        <w:jc w:val="left"/>
        <w:rPr>
          <w:sz w:val="21"/>
        </w:rPr>
      </w:pPr>
      <w:r>
        <w:rPr>
          <w:b w:val="0"/>
          <w:i w:val="0"/>
          <w:sz w:val="21"/>
          <w:u w:val="none"/>
        </w:rPr>
        <w:t xml:space="preserve"> Material comprising tweezers ( not factory used</w:t>
      </w:r>
      <w:r>
        <w:rPr>
          <w:sz w:val="21"/>
        </w:rPr>
      </w:r>
    </w:p>
    <w:p>
      <w:pPr>
        <w:spacing w:after="0"/>
        <w:jc w:val="left"/>
        <w:rPr>
          <w:sz w:val="21"/>
        </w:rPr>
        <w:sectPr>
          <w:pgSz w:w="11900" w:h="16840"/>
          <w:pgMar w:top="500" w:bottom="280" w:left="600" w:right="540"/>
        </w:sectPr>
      </w:pPr>
    </w:p>
    <w:p>
      <w:pPr>
        <w:pStyle w:val="BodyText"/>
        <w:spacing w:before="78"/>
        <w:ind w:left="100" w:right="5796"/>
      </w:pPr>
      <w:r>
        <w:rPr/>
        <w:t xml:space="preserve"> made), knives perforated/playin tools (sts); instructional printed matter, including books, stickers, graphics charts, stationery, brochures for use with computers.</w:t>
      </w:r>
    </w:p>
    <w:p>
      <w:pPr>
        <w:pStyle w:val="BodyText"/>
        <w:rPr>
          <w:sz w:val="18"/>
        </w:rPr>
      </w:pPr>
    </w:p>
    <w:p>
      <w:pPr>
        <w:pStyle w:val="Heading1"/>
        <w:spacing w:line="241" w:lineRule="exact"/>
      </w:pPr>
      <w:r>
        <w:rPr/>
        <w:t xml:space="preserve"> You are Attorneys</w:t>
      </w:r>
    </w:p>
    <w:p>
      <w:pPr>
        <w:pStyle w:val="BodyText"/>
        <w:spacing w:line="240" w:lineRule="exact"/>
        <w:ind w:left="100"/>
      </w:pPr>
      <w:r>
        <w:rPr/>
        <w:t>Calandra Fay Parnell-Smith</w:t>
      </w:r>
    </w:p>
    <w:p>
      <w:pPr>
        <w:pStyle w:val="BodyText"/>
        <w:ind w:left="100" w:right="5796"/>
      </w:pPr>
      <w:r>
        <w:rPr/>
        <w:t xml:space="preserve"> Acting Assistant Secretary, Customs and Intellectual Property shall receive notice of these changes by 23 August 1995 for EFT or email:</w:t>
      </w:r>
    </w:p>
    <w:p>
      <w:pPr>
        <w:pStyle w:val="BodyText"/>
        <w:spacing w:before="10"/>
        <w:rPr>
          <w:sz w:val="17"/>
        </w:rPr>
      </w:pPr>
    </w:p>
    <w:p>
      <w:pPr>
        <w:pStyle w:val="Heading1"/>
        <w:spacing w:line="241" w:lineRule="exact" w:before="1"/>
      </w:pPr>
      <w:r>
        <w:rPr/>
        <w:t>Tasmania</w:t>
      </w:r>
    </w:p>
    <w:p>
      <w:pPr>
        <w:pStyle w:val="BodyText"/>
        <w:ind w:left="100" w:right="6951"/>
      </w:pPr>
      <w:r>
        <w:rPr/>
        <w:t>manifest UK -(Select Docks and Road Vehicles)</w:t>
      </w:r>
    </w:p>
    <w:p>
      <w:pPr>
        <w:pStyle w:val="BodyText"/>
        <w:spacing w:line="239" w:lineRule="exact"/>
        <w:ind w:left="100"/>
      </w:pPr>
      <w:r>
        <w:rPr/>
        <w:t xml:space="preserve"> Building and Mineral Resources Industry Group</w:t>
      </w:r>
    </w:p>
    <w:p>
      <w:pPr>
        <w:pStyle w:val="BodyText"/>
        <w:rPr>
          <w:sz w:val="18"/>
        </w:rPr>
      </w:pPr>
    </w:p>
    <w:p>
      <w:pPr>
        <w:pStyle w:val="BodyText"/>
        <w:spacing w:line="241" w:lineRule="exact"/>
        <w:ind w:left="100"/>
      </w:pPr>
      <w:r>
        <w:rPr/>
        <w:t xml:space="preserve"> Tel : ( 02</w:t>
      </w:r>
    </w:p>
    <w:p>
      <w:pPr>
        <w:pStyle w:val="BodyText"/>
        <w:ind w:left="100" w:right="6951"/>
      </w:pPr>
      <w:r>
        <w:rPr/>
        <w:t>Fax: (02) 9207 183114</w:t>
      </w:r>
    </w:p>
    <w:p>
      <w:pPr>
        <w:pStyle w:val="BodyText"/>
        <w:rPr>
          <w:sz w:val="18"/>
        </w:rPr>
      </w:pPr>
    </w:p>
    <w:p>
      <w:pPr>
        <w:pStyle w:val="BodyText"/>
        <w:ind w:left="100"/>
      </w:pPr>
      <w:r>
        <w:rPr/>
        <w:t xml:space="preserve"> Lodgement # :</w:t>
      </w:r>
    </w:p>
    <w:p>
      <w:pPr>
        <w:pStyle w:val="BodyText"/>
        <w:spacing w:before="1"/>
        <w:rPr>
          <w:sz w:val="18"/>
        </w:rPr>
      </w:pPr>
    </w:p>
    <w:p>
      <w:pPr>
        <w:pStyle w:val="BodyText"/>
        <w:ind w:left="100"/>
      </w:pPr>
      <w:r>
        <w:rPr/>
        <w:t xml:space="preserve"> MONTANA NAVY AUTOMATION SYSTEMURFAND</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