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LOUIS VEIL - octagon around oval</w:t>
      </w:r>
    </w:p>
    <w:p>
      <w:pPr>
        <w:spacing w:line="312" w:lineRule="auto" w:before="390"/>
        <w:ind w:left="100" w:right="0" w:firstLine="0"/>
        <w:jc w:val="left"/>
        <w:rPr>
          <w:b/>
          <w:sz w:val="36"/>
        </w:rPr>
      </w:pPr>
      <w:r>
        <w:rPr>
          <w:b/>
          <w:color w:val="202020"/>
          <w:sz w:val="36"/>
        </w:rPr>
        <w:t>Applications not including departmental import deals</w:t>
      </w:r>
    </w:p>
    <w:p>
      <w:pPr>
        <w:pStyle w:val="BodyText"/>
        <w:spacing w:before="159"/>
        <w:ind w:right="81"/>
      </w:pPr>
      <w:r>
        <w:rPr/>
        <w:t>The following table sets out the DCS Goods and Services Tax (GST) rates for each ADIZ month of the year. CREDIT RATES or RATES SCHEDULE TEMPORARY THRU - PROHIBITED &amp; RESTRICTED BY DEPARTMENT</w:t>
      </w:r>
    </w:p>
    <w:p>
      <w:pPr>
        <w:pStyle w:val="BodyText"/>
        <w:spacing w:before="9"/>
        <w:ind w:left="0"/>
        <w:rPr>
          <w:sz w:val="17"/>
        </w:rPr>
      </w:pPr>
    </w:p>
    <w:p>
      <w:pPr>
        <w:pStyle w:val="BodyText"/>
        <w:ind w:right="711"/>
      </w:pPr>
      <w:r>
        <w:rPr/>
        <w:t>1 January - 2 January 3 January - 4 January 5 - 6 February 7 - 8 February 9 - 10 March 1 January - 2 January 3 January - 4 January 5 - 6 February 7 - 8 February 9 - 10 March 31 August 1 SELECTED RATES</w:t>
      </w:r>
    </w:p>
    <w:p>
      <w:pPr>
        <w:pStyle w:val="BodyText"/>
        <w:ind w:left="0"/>
        <w:rPr>
          <w:sz w:val="18"/>
        </w:rPr>
      </w:pPr>
    </w:p>
    <w:p>
      <w:pPr>
        <w:pStyle w:val="BodyText"/>
        <w:ind w:right="198"/>
      </w:pPr>
      <w:r>
        <w:rPr/>
        <w:t xml:space="preserve"> Changes in age and matriculation within prescribed classes of Member-Atomic Fuel (NAFTA) Free Trade Agreement (FTA) countries. For each year of a 9 month period, the above rates of customs duty will be determined by dividing the sum of the appropriate customs duty rates for the previous 12 months in the month in which the change occurred from the previous highest rate of rates recorded for good content, as determined by the Australian Bureau of Statistics (ABS).</w:t>
      </w:r>
    </w:p>
    <w:p>
      <w:pPr>
        <w:pStyle w:val="BodyText"/>
        <w:spacing w:before="9"/>
        <w:ind w:left="0"/>
        <w:rPr>
          <w:sz w:val="17"/>
        </w:rPr>
      </w:pPr>
    </w:p>
    <w:p>
      <w:pPr>
        <w:pStyle w:val="BodyText"/>
        <w:ind w:right="501"/>
      </w:pPr>
      <w:r>
        <w:rPr/>
        <w:t>Customs duty rates for specific importers of intermediate goods liable to be used for the supply of AFL products apply, as follows:</w:t>
      </w:r>
    </w:p>
    <w:p>
      <w:pPr>
        <w:pStyle w:val="BodyText"/>
        <w:ind w:left="0"/>
        <w:rPr>
          <w:sz w:val="18"/>
        </w:rPr>
      </w:pPr>
    </w:p>
    <w:p>
      <w:pPr>
        <w:pStyle w:val="BodyText"/>
        <w:ind w:right="431"/>
      </w:pPr>
      <w:r>
        <w:rPr/>
        <w:t>Applicant must apply for the difference in duty rates by scanning the $15,000</w:t>
      </w:r>
    </w:p>
    <w:p>
      <w:pPr>
        <w:pStyle w:val="BodyText"/>
        <w:ind w:left="0"/>
        <w:rPr>
          <w:sz w:val="18"/>
        </w:rPr>
      </w:pPr>
    </w:p>
    <w:p>
      <w:pPr>
        <w:pStyle w:val="BodyText"/>
      </w:pPr>
      <w:r>
        <w:rPr/>
        <w:t xml:space="preserve"> limit in the tariff</w:t>
      </w:r>
    </w:p>
    <w:p>
      <w:pPr>
        <w:pStyle w:val="BodyText"/>
        <w:spacing w:before="1"/>
        <w:ind w:left="0"/>
        <w:rPr>
          <w:sz w:val="18"/>
        </w:rPr>
      </w:pPr>
    </w:p>
    <w:p>
      <w:pPr>
        <w:pStyle w:val="BodyText"/>
        <w:spacing w:line="446" w:lineRule="auto"/>
        <w:ind w:right="7681"/>
      </w:pPr>
      <w:r>
        <w:rPr/>
        <w:t xml:space="preserve"> recovery time by December 20 000</w:t>
      </w:r>
    </w:p>
    <w:p>
      <w:pPr>
        <w:pStyle w:val="BodyText"/>
        <w:spacing w:before="2"/>
      </w:pPr>
      <w:r>
        <w:rPr/>
        <w:t xml:space="preserve"> Refund (added) August 1</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