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 xml:space="preserve"> Indirect Line To Infringement Provider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Western Sydney-Melbourne</w:t>
      </w:r>
    </w:p>
    <w:p>
      <w:pPr>
        <w:pStyle w:val="BodyText"/>
        <w:spacing w:line="266" w:lineRule="auto" w:before="251"/>
        <w:ind w:left="424" w:right="1483"/>
      </w:pPr>
      <w:r>
        <w:rPr/>
        <w:t>Ph: (02) 9217 1557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 xml:space="preserve"> Effective Date : 30 August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 xml:space="preserve"> ATV – Two ltrs in rectangle formed with oblique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ARTIC HI WONG MOTOR CYCLES 400 2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 xml:space="preserve"> Two ltrs in rect formed with oblique angled triangle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ARTIC HI WONG MOTOR CYCLES 400 3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 xml:space="preserve"> Two ltrs in rect formed by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555 WAKEFIELD - pillar, shield- &amp; triangle in rectangle formed with square grot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AUSTRALIA OF MIND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5 Goods in this class.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 xml:space="preserve"> AUSTRALIA OF MIND</w:t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St John the Baptist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9 Electrical and optical apparatus, instruments, cables, wires and cords; fitness devices, namely, bands, armbands, protective bands for bathing and swimming; changes of clothing, namely, bathing suits, swimming suits, trousers, capes and jumpers; and all other non- sleeping wear.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[SIGNED]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 xml:space="preserve"> AUSTRALIA</w:t>
      </w:r>
    </w:p>
    <w:p>
      <w:pPr>
        <w:pStyle w:val="BodyText"/>
        <w:ind w:left="424"/>
      </w:pPr>
      <w:r>
        <w:rPr/>
        <w:t>St John the Baptist</w:t>
      </w:r>
    </w:p>
    <w:p>
      <w:pPr>
        <w:pStyle w:val="BodyText"/>
        <w:spacing w:before="1"/>
        <w:ind w:left="424" w:right="5811"/>
      </w:pPr>
      <w:r>
        <w:rPr/>
        <w:t xml:space="preserve"> Dog,- charming in dog wearing animals head &amp; crown, in rect 14 Motor vehicles including bicycles and motorcycle engines.</w:t>
      </w:r>
    </w:p>
    <w:p>
      <w:pPr>
        <w:pStyle w:val="BodyText"/>
        <w:spacing w:before="1"/>
        <w:ind w:left="424"/>
      </w:pPr>
      <w:r>
        <w:rPr/>
        <w:t xml:space="preserve"> AUSTRALIA OF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 xml:space="preserve"> St John the Baptist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27 Honking machines ,</dc:creator>
  <cp:keywords>33 Smokers' articles.</cp:keywords>
  <dc:title> CHAMPIONSHIP COSMETICS ACT 1956 SCHEDULE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