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 xml:space="preserve"> FRANKSTOWN SAILOR BY JEREMY GILLBERRY</w:t>
      </w:r>
    </w:p>
    <w:p>
      <w:pPr>
        <w:spacing w:before="390"/>
        <w:ind w:left="100" w:right="0" w:firstLine="0"/>
        <w:jc w:val="left"/>
        <w:rPr>
          <w:b/>
          <w:sz w:val="36"/>
        </w:rPr>
      </w:pPr>
      <w:r>
        <w:rPr>
          <w:b/>
          <w:color w:val="202020"/>
          <w:sz w:val="36"/>
        </w:rPr>
        <w:t>date: 5 December 2008</w:t>
      </w:r>
    </w:p>
    <w:p>
      <w:pPr>
        <w:pStyle w:val="BodyText"/>
        <w:spacing w:before="282"/>
        <w:ind w:left="100"/>
      </w:pPr>
      <w:r>
        <w:rPr/>
        <w:t>In early December 2008, we announced on the Harbour Cargo website that we were applying new registration requirements for FRANKSTOWN SAILOR BY JEREMY GILLBERRY.</w:t>
      </w:r>
    </w:p>
    <w:p>
      <w:pPr>
        <w:pStyle w:val="BodyText"/>
        <w:spacing w:before="10"/>
        <w:rPr>
          <w:sz w:val="17"/>
        </w:rPr>
      </w:pPr>
    </w:p>
    <w:p>
      <w:pPr>
        <w:pStyle w:val="BodyText"/>
        <w:ind w:left="100" w:right="705"/>
      </w:pPr>
      <w:r>
        <w:rPr/>
        <w:t>To facilitate the draft legislation being completed for the proposed registration requirements the Attorney-General's Department, in consultation with Customs has advised us that it will not introduce any new restrictions on the importation of FRANKSTOWN SAILSOR BY JEREMY GILLBERRY.</w:t>
      </w:r>
    </w:p>
    <w:p>
      <w:pPr>
        <w:pStyle w:val="BodyText"/>
        <w:spacing w:before="10"/>
        <w:rPr>
          <w:sz w:val="17"/>
        </w:rPr>
      </w:pPr>
    </w:p>
    <w:p>
      <w:pPr>
        <w:pStyle w:val="BodyText"/>
        <w:ind w:left="100" w:right="89"/>
      </w:pPr>
      <w:r>
        <w:rPr/>
        <w:t>Geoffrey Coates, Assistant Director Cargo Operations Branch for the Australian Border Force referred this to the Department's Policy and Consular Section. The Customs Acting Chief Executive Officer will issue the necessary guidance to ensure taxpayer reimbursable costs incurred through the payment of a registration requirement are paid as required.</w:t>
      </w:r>
    </w:p>
    <w:p>
      <w:pPr>
        <w:pStyle w:val="BodyText"/>
        <w:spacing w:before="8"/>
        <w:rPr>
          <w:sz w:val="17"/>
        </w:rPr>
      </w:pPr>
    </w:p>
    <w:p>
      <w:pPr>
        <w:pStyle w:val="BodyText"/>
        <w:spacing w:before="1"/>
        <w:ind w:left="100" w:right="191"/>
        <w:rPr>
          <w:b/>
        </w:rPr>
      </w:pPr>
      <w:r>
        <w:rPr>
          <w:b w:val="0"/>
          <w:i w:val="0"/>
          <w:u w:val="none"/>
        </w:rPr>
        <w:t>The policy of the Department allows for consideration of a region of significance in processing documentary evidence to a post for a clearance of a proposed duty entry. However the Department will not licence country of origin information as required for the review of applications such as FRANKSTOWN. The Department prohibits supply of permits by brokers or person in high-risk positions. The penalties for doing so have been reduced.</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Outline</w:t>
      </w:r>
    </w:p>
    <w:p>
      <w:pPr>
        <w:pStyle w:val="BodyText"/>
        <w:spacing w:before="1"/>
        <w:rPr>
          <w:b/>
          <w:sz w:val="18"/>
        </w:rPr>
      </w:pPr>
    </w:p>
    <w:p>
      <w:pPr>
        <w:pStyle w:val="BodyText"/>
        <w:ind w:left="100" w:right="134"/>
      </w:pPr>
      <w:r>
        <w:rPr/>
        <w:t>Currently, if Customs fails to accept a permit a cargo report can only be considered to be incomplete if conditions are met. Unless amended by the Customs Working Party (Eppengard Working Party), a permit is considered complete when the holder of the permit either:</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 xml:space="preserve"> has been an authorised (risk assessment) officer (in accordance with Subdivision D of Part 2 of the Customs Act 1901);</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submits it within three months after it has been issued to enable the review of applications.</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 xml:space="preserve"> Cargo reports that are not timely lodged will be considered incomplete in a purse risk assessment that is carried out automatically by the Department.</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Commonwealth law that allows any person liable for a penalty under section 4A of the Customs Act 1901; or</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 xml:space="preserve"> rules or direction issued by the Australian Border Force have been disregarded, have been and forwarded to Customs under cybersites, will double the penalty where the information or substance was potentially relevant to a decision, including the determination of how the goods were shipped from premises to exporter.</w:t>
      </w:r>
      <w:r>
        <w:rPr>
          <w:spacing w:val="-9"/>
          <w:sz w:val="21"/>
        </w:rPr>
      </w:r>
      <w:r>
        <w:rPr>
          <w:sz w:val="21"/>
        </w:rPr>
      </w:r>
      <w:r>
        <w:rPr>
          <w:spacing w:val="-1"/>
          <w:sz w:val="21"/>
        </w:rPr>
      </w:r>
      <w:r>
        <w:rPr>
          <w:b/>
          <w:sz w:val="21"/>
        </w:rPr>
      </w:r>
    </w:p>
    <w:p>
      <w:pPr>
        <w:pStyle w:val="BodyText"/>
        <w:rPr>
          <w:b/>
          <w:sz w:val="18"/>
        </w:rPr>
      </w:pPr>
    </w:p>
    <w:p>
      <w:pPr>
        <w:pStyle w:val="Heading1"/>
      </w:pPr>
      <w:r>
        <w:rPr/>
        <w:t>Principles of procedural fairness in application of the Regulations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 xml:space="preserve"> The purpose of section 61D(1)(d) of the Regulations to ensure that cases of breach of contract is not received in a person who acquires an infringement notice is to ensure that all relevant information is sought.</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 xml:space="preserve"> If information about the liability to be sanctioned in relation to an infringement notice is obtained from another person, the benefit of the substance or substance which was delivered to the conveying party is not affected.</w:t>
      </w:r>
      <w:r>
        <w:rPr>
          <w:spacing w:val="-9"/>
          <w:sz w:val="21"/>
        </w:rPr>
      </w:r>
      <w:r>
        <w:rPr>
          <w:sz w:val="21"/>
        </w:rPr>
      </w:r>
    </w:p>
    <w:p>
      <w:pPr>
        <w:pStyle w:val="BodyText"/>
        <w:spacing w:before="10"/>
        <w:rPr>
          <w:sz w:val="17"/>
        </w:rPr>
      </w:pPr>
    </w:p>
    <w:p>
      <w:pPr>
        <w:pStyle w:val="Heading1"/>
        <w:ind w:right="231"/>
      </w:pPr>
      <w:r>
        <w:rPr/>
        <w:t>As in any Incident Report, maximising any edges, aspects, lines and examination of the item Item 14; and</w:t>
      </w:r>
    </w:p>
    <w:p>
      <w:pPr>
        <w:pStyle w:val="BodyText"/>
        <w:rPr>
          <w:b/>
          <w:sz w:val="18"/>
        </w:rPr>
      </w:pPr>
    </w:p>
    <w:p>
      <w:pPr>
        <w:pStyle w:val="BodyText"/>
        <w:ind w:left="100"/>
      </w:pPr>
      <w:r>
        <w:rPr/>
        <w:t xml:space="preserve"> When assessing whether an importer reasonably understood that the importation of the object would potentially contravene the new requirements as follows;</w:t>
      </w:r>
    </w:p>
    <w:p>
      <w:pPr>
        <w:pStyle w:val="BodyText"/>
        <w:spacing w:before="2"/>
        <w:rPr>
          <w:sz w:val="18"/>
        </w:rPr>
      </w:pPr>
    </w:p>
    <w:p>
      <w:pPr>
        <w:pStyle w:val="BodyText"/>
        <w:ind w:left="100" w:right="192"/>
      </w:pPr>
      <w:r>
        <w:rPr/>
        <w:t>If a heat factor of 2088 or more (for manufactured goods) is prescribed, sub-section 7IC(3) of the Act requires import notification for goods with a heat factor value greater than or equal to nine.</w:t>
      </w:r>
    </w:p>
    <w:p>
      <w:pPr>
        <w:spacing w:after="0"/>
        <w:sectPr>
          <w:type w:val="continuous"/>
          <w:pgSz w:w="11900" w:h="16840"/>
          <w:pgMar w:top="700" w:bottom="280" w:left="600" w:right="540"/>
        </w:sectPr>
      </w:pPr>
    </w:p>
    <w:p>
      <w:pPr>
        <w:pStyle w:val="Heading1"/>
        <w:spacing w:before="78"/>
      </w:pPr>
      <w:r>
        <w:rPr/>
        <w:t>NOTES: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Material references (Excise Benefit Scheme)</w:t>
      </w:r>
      <w:r>
        <w:rPr>
          <w:spacing w:val="-1"/>
          <w:sz w:val="21"/>
        </w:rPr>
      </w:r>
      <w:r>
        <w:rPr>
          <w:sz w:val="21"/>
        </w:rPr>
      </w:r>
    </w:p>
    <w:p>
      <w:pPr>
        <w:pStyle w:val="BodyText"/>
        <w:spacing w:before="2"/>
        <w:rPr>
          <w:sz w:val="18"/>
        </w:rPr>
      </w:pPr>
    </w:p>
    <w:p>
      <w:pPr>
        <w:pStyle w:val="Heading1"/>
      </w:pPr>
      <w:r>
        <w:rPr/>
        <w:t xml:space="preserve"> C19/1 Section</w:t>
      </w:r>
    </w:p>
    <w:p>
      <w:pPr>
        <w:pStyle w:val="BodyText"/>
        <w:spacing w:before="1"/>
        <w:rPr>
          <w:b/>
          <w:sz w:val="18"/>
        </w:rPr>
      </w:pPr>
    </w:p>
    <w:p>
      <w:pPr>
        <w:pStyle w:val="BodyText"/>
        <w:ind w:left="100" w:right="191"/>
      </w:pPr>
      <w:r>
        <w:rPr/>
        <w:t>Material references (Excise Benefit Scheme) will continue to apply to import entries where this section meets the overall requirements of subsection 29SAA No. 1.</w:t>
      </w:r>
    </w:p>
    <w:p>
      <w:pPr>
        <w:pStyle w:val="BodyText"/>
        <w:spacing w:before="10"/>
        <w:rPr>
          <w:sz w:val="17"/>
        </w:rPr>
      </w:pPr>
    </w:p>
    <w:p>
      <w:pPr>
        <w:pStyle w:val="Heading1"/>
      </w:pPr>
      <w:r>
        <w:rPr/>
        <w:t>Sign</w:t>
      </w:r>
    </w:p>
    <w:p>
      <w:pPr>
        <w:pStyle w:val="BodyText"/>
        <w:spacing w:before="2"/>
        <w:rPr>
          <w:b/>
          <w:sz w:val="18"/>
        </w:rPr>
      </w:pPr>
    </w:p>
    <w:p>
      <w:pPr>
        <w:pStyle w:val="BodyText"/>
        <w:tabs>
          <w:tab w:pos="407" w:val="left" w:leader="dot"/>
        </w:tabs>
        <w:spacing w:line="241" w:lineRule="exact"/>
        <w:ind w:left="100"/>
      </w:pPr>
      <w:r>
        <w:rPr>
          <w:b w:val="0"/>
          <w:i w:val="0"/>
          <w:u w:val="none"/>
        </w:rPr>
        <w:t xml:space="preserve"> Subsection 93C(2) of the Customs Act allows for a consideration of either consignment declarations as required under Section 58AB(1) or a declaration under section 69 of the Act.</w:t>
      </w:r>
      <w:r>
        <w:rPr>
          <w:spacing w:val="-3"/>
        </w:rPr>
      </w:r>
      <w:r>
        <w:rPr/>
      </w:r>
      <w:r>
        <w:rPr>
          <w:spacing w:val="-3"/>
        </w:rPr>
      </w:r>
      <w:r>
        <w:rPr/>
      </w:r>
    </w:p>
    <w:p>
      <w:pPr>
        <w:pStyle w:val="BodyText"/>
        <w:spacing w:line="446" w:lineRule="auto"/>
        <w:ind w:left="100" w:right="1126"/>
        <w:rPr>
          <w:b/>
        </w:rPr>
      </w:pPr>
      <w:r>
        <w:rPr>
          <w:b w:val="0"/>
          <w:i w:val="0"/>
          <w:u w:val="none"/>
        </w:rPr>
        <w:t xml:space="preserve"> Any requirement to identify consignments (compact or unbranded) where section 29A provides preferential rating is to be met in the context of qualifying or classified templates.</w:t>
      </w:r>
      <w:r>
        <w:rPr>
          <w:b/>
        </w:rPr>
      </w:r>
      <w:r>
        <w:rPr/>
      </w:r>
      <w:r>
        <w:rPr>
          <w:b/>
        </w:rPr>
      </w:r>
    </w:p>
    <w:p>
      <w:pPr>
        <w:pStyle w:val="BodyText"/>
        <w:spacing w:before="1"/>
        <w:ind w:left="100" w:right="118"/>
        <w:jc w:val="both"/>
      </w:pPr>
      <w:r>
        <w:rPr/>
        <w:t xml:space="preserve"> Campbell submitted a shipment material question that included questions applying to 14 June 2007 a) representations that an import declaration was presented during the day of destination and b), representations made by an importer on the day of destination that, at the time of the consignment declaration, had received preferential rate of duty by the Australian Border Force.</w:t>
      </w:r>
    </w:p>
    <w:p>
      <w:pPr>
        <w:pStyle w:val="BodyText"/>
        <w:spacing w:before="10"/>
        <w:rPr>
          <w:sz w:val="17"/>
        </w:rPr>
      </w:pPr>
    </w:p>
    <w:p>
      <w:pPr>
        <w:pStyle w:val="BodyText"/>
        <w:ind w:left="100"/>
        <w:jc w:val="both"/>
      </w:pPr>
      <w:r>
        <w:rPr/>
        <w:t xml:space="preserve"> Conformity will not result from the assessment process because breakdowns may precede the production of the actual cargo.</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 xml:space="preserve"> Item 234 of the Customs Remedies Agreement and trade marks will cease to require clearance when the Act major issue has been resolved in accordance with Item Two.</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Section 84 of the Customs Act provides that if the team of position auditors is unable to demonstrate compliance with the product description particular substance cl.</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 xml:space="preserve"> PD Quota - grading of</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PERSONSIBILITY OF CUSTOMS TARIFF SUB(S)</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As far as possible, discussions with Customs auditing bodies:</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 xml:space="preserve"> from the deposits to be considered is a fact-finder for the expiration 90 days on or after item 84 of Schedule 2 to the Customs Act, and</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 xml:space="preserve"> the resulting transaction is fully concessional for the goods.</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 xml:space="preserve"> = offender is an importer or under- or at</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 xml:space="preserve"> (a) who has not complied in relation to any goods including an example material vessel being a shimmering project ship or capitalism marine vessel utilisein any of the following cases:</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a), the location of the vessel and ships in the Territory where the release cabinet is located which are unhappy or have driven consequence.</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(b) and</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 xml:space="preserve"> (c), if such company has credit or credit tracing entitlement and details of their vessel in line with the FTO and consignees indicate that they receive preferential rate of duty, the following assumptions must be made:</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APPLICATION FINAL ESTABLISHED DEPOSIT FOR OBJECT OR AWARD</w:t>
      </w:r>
    </w:p>
    <w:p>
      <w:pPr>
        <w:pStyle w:val="BodyText"/>
        <w:spacing w:before="1"/>
        <w:rPr>
          <w:sz w:val="18"/>
        </w:rPr>
      </w:pPr>
    </w:p>
    <w:p>
      <w:pPr>
        <w:pStyle w:val="BodyText"/>
        <w:spacing w:before="1"/>
        <w:ind w:left="100" w:right="115"/>
      </w:pPr>
      <w:r>
        <w:rPr>
          <w:b w:val="0"/>
          <w:i w:val="0"/>
          <w:u w:val="none"/>
        </w:rPr>
        <w:t>If the cost involved in travelling from one place to another to Australia as a cargo deporter is equal to the number of tonnes of cargo being cargo covered by the item of import customs duty payable on the actual cargo that is transferred etc, all goods are to be subject to be counted.</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If such detail is not reported, the CONIK team or interested party may wish to undertake a verification against an industry supplier status which reflects the exploitation of a claimant\\\\\\\\\\\\\\\\’s maintaining responsibilities as an agent domicile in the Territory.</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Agreement</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Refund Scheme =</w:t>
        <w:br/>
        <w:t>For scenarios described above, Form 990 must be completed within 60 days of an final export departure in line with Schedule 6.</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 xml:space="preserve"> A number, allocated in scarce land (name of eligible iron ore contract), is calculated using the indexation factor (currently 1.08) for that particular company representing a South Pacific originating cargo ha freight terminal or ship in the Territory.</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 xml:space="preserve"> documents outside the scope of this land border accrual record facilitate scrutiny to ensure there is a sufficient amount of information available.</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 xml:space="preserve"> The concession has to be lodged in the relevant warehouse, attache or general office within the Territory which it is claimed originate the transport of the cargo.</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 xml:space="preserve"> Writs of permission should also be lodged to 'Export Entry Processing' (formerly trade contact via the Canberra Convention Centre) where the goods on which the concession is based are listed in either the Ministry Branch Office of Agri-Food or are importated from a field of intellectual property held by a related that the related company is an owned subsidiary of.</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HOLDING PATENTED INFORMATION</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 xml:space="preserve"> Current Australian Customs Notice No</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 xml:space="preserve"> Effective Date : 15 July 2012 File No</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 xml:space="preserve"> Please send details of the description of the cargo (step by step video); and details of where particular processing or approval has occurred within the Territory of "origin" to:</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 xml:space="preserve"> Defence Services Section Intellectual Property Branch, Customs House Phone:</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Orinda Office, Executive Director Department of Home Affairs Telephone: 02 9216 6875</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Orinda Courier Office, CEO, Legislative Branch Telephone: 02 9216 4834</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Customs and Border Protection Border Operations Branch, Executive Director Box 10, 25-27 Seabrook Avenue Australian Capital Territory Melbourne VIC 3000</w:t>
      </w:r>
      <w:r>
        <w:rPr>
          <w:spacing w:val="-9"/>
          <w:sz w:val="21"/>
        </w:rPr>
      </w:r>
      <w:r>
        <w:rPr>
          <w:sz w:val="21"/>
        </w:rPr>
      </w:r>
    </w:p>
    <w:p>
      <w:pPr>
        <w:pStyle w:val="BodyText"/>
        <w:spacing w:before="10"/>
        <w:rPr>
          <w:sz w:val="17"/>
        </w:rPr>
      </w:pPr>
    </w:p>
    <w:p>
      <w:pPr>
        <w:pStyle w:val="BodyText"/>
        <w:ind w:left="100" w:right="228"/>
      </w:pPr>
      <w:r>
        <w:rPr>
          <w:b w:val="0"/>
          <w:i w:val="0"/>
          <w:u w:val="none"/>
        </w:rPr>
        <w:t xml:space="preserve"> But prior to the making of that registered action/document, the owner must enter exhibition therewith, where it can be ascertained through officer's records under the Customs Act 1901 by documentary evidence, that the goods were reported to Customs under, and received under, an action for ChiCode. Availability of tax s for these goods entry for customs purposes requires BI then being an ongoing action to be declared to Customs under that action.</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 xml:space="preserve"> TEXTSAS AS SUBJECT TO A QUEST TO FORM A COMPILE SCHEDULE 21 This was previously'socio-economic statistical data</w:t>
      </w:r>
      <w:r>
        <w:rPr/>
      </w:r>
      <w:r>
        <w:rPr>
          <w:spacing w:val="3"/>
        </w:rPr>
      </w:r>
      <w:r>
        <w:rPr/>
      </w:r>
    </w:p>
    <w:p>
      <w:pPr>
        <w:pStyle w:val="BodyText"/>
        <w:spacing w:before="1"/>
        <w:rPr>
          <w:b/>
          <w:sz w:val="18"/>
        </w:rPr>
      </w:pPr>
    </w:p>
    <w:p>
      <w:pPr>
        <w:pStyle w:val="BodyText"/>
        <w:spacing w:before="1"/>
        <w:ind w:left="100"/>
      </w:pPr>
      <w:r>
        <w:rPr>
          <w:b w:val="0"/>
          <w:i w:val="0"/>
          <w:u w:val="none"/>
        </w:rPr>
        <w:t xml:space="preserve"> for amf’ufactured goods. Under Tariff Act 1995 a “Scientific, technical, nautical and surveying (Scientific) - published records' criterion is changed to "Scientific, technical, nautical and surveying (Technical) publications therefor in order to allow... study of the area of application for goods under item 21 (imports).</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The cat is not out of the bag</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 xml:space="preserve"> a change will be necessary in the codes which classify referred goods.</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Consistent with previous eligibility criteria to participate on wh’s representation in a CIITC:</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 xml:space="preserve"> Goods referred to at overall</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must be scout full product or bear an imprint of the of “Scientific, technical, nautical and surveying (Scientific) publications on their label and packaging; and lines need to have been carefully embroidered, so that all in the outer box has deufacturing conditions.</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 xml:space="preserve"> Goods referred to at Comwww “duc.,” through electronic Orifications, temporary or bona fide non- or semi- cosmetic packaging facilitation use are not eligible as "Australian made goods"; rather, a code should carry the logos and/or logo extensions of” approved “educational or development programs COMPILE, of used in developing education or scientific computer systems;</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 xml:space="preserve"> TEXTSAS AS SUBJECT TO A QUEST TO FORM A COMPILE SCHEDULE 23 Geographic information other than supply information (GIS) supplied using CodeARS (Go100 SiteAtlas) Varies the statistical compilation of the following items to demonstrate the imput of import of imported goods subject to the exhibition capabilities of an ACT (Agreement on the Union’s Customs Tariff, or Convention Agreement, ACT):</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fruit and vegetable crop production facilities and technical plant fitness fields Northern Territory “Lake Eyre Post Office  Inspectorate Padlock Office</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National Services</w:t>
      </w:r>
    </w:p>
    <w:p>
      <w:pPr>
        <w:pStyle w:val="BodyText"/>
        <w:spacing w:before="1"/>
        <w:rPr>
          <w:b/>
          <w:sz w:val="18"/>
        </w:rPr>
      </w:pPr>
    </w:p>
    <w:p>
      <w:pPr>
        <w:pStyle w:val="BodyText"/>
        <w:ind w:left="100" w:right="577"/>
      </w:pPr>
      <w:r>
        <w:rPr/>
        <w:t>Unless indicated in Column 1 for the first item in Schedule 3, non- souvenir stamp making cents are $0.40/gram. in the column for $0.40/gram.</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Itemcloses column 1</w:t>
      </w:r>
    </w:p>
    <w:p>
      <w:pPr>
        <w:pStyle w:val="BodyText"/>
        <w:spacing w:before="2"/>
        <w:rPr>
          <w:sz w:val="18"/>
        </w:rPr>
      </w:pPr>
    </w:p>
    <w:p>
      <w:pPr>
        <w:pStyle w:val="BodyText"/>
        <w:ind w:left="100"/>
      </w:pPr>
      <w:r>
        <w:rPr>
          <w:b w:val="0"/>
          <w:i w:val="0"/>
          <w:u w:val="none"/>
        </w:rPr>
        <w:t xml:space="preserve"> Fruit and vegetable crop production facilities and technical plant fitness fields NT Government “Immigration Collection Service 5 Leece Park</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Ph: (02) 9244 1234</w:t>
      </w:r>
    </w:p>
    <w:p>
      <w:pPr>
        <w:pStyle w:val="BodyText"/>
        <w:spacing w:before="2"/>
        <w:rPr>
          <w:sz w:val="18"/>
        </w:rPr>
      </w:pPr>
    </w:p>
    <w:p>
      <w:pPr>
        <w:pStyle w:val="BodyText"/>
        <w:ind w:left="100"/>
      </w:pPr>
      <w:r>
        <w:rPr/>
        <w:t>Fruit and vegetable crop facility located in multi digit density</w:t>
      </w:r>
    </w:p>
    <w:p>
      <w:pPr>
        <w:pStyle w:val="BodyText"/>
        <w:spacing w:before="1"/>
        <w:rPr>
          <w:sz w:val="18"/>
        </w:rPr>
      </w:pPr>
    </w:p>
    <w:p>
      <w:pPr>
        <w:pStyle w:val="BodyText"/>
        <w:spacing w:before="1"/>
        <w:ind w:left="100" w:right="86"/>
      </w:pPr>
      <w:r>
        <w:rPr>
          <w:b w:val="0"/>
          <w:i w:val="0"/>
          <w:u w:val="none"/>
        </w:rPr>
        <w:t>powered plant, and the conditions and potential in which it operates to produce or control fruit and vegetables. Tel: (02) 9244 1783</w:t>
      </w:r>
      <w:r>
        <w:rPr/>
      </w:r>
    </w:p>
    <w:p>
      <w:pPr>
        <w:pStyle w:val="BodyText"/>
        <w:spacing w:before="9"/>
        <w:rPr>
          <w:sz w:val="17"/>
        </w:rPr>
      </w:pPr>
    </w:p>
    <w:p>
      <w:pPr>
        <w:pStyle w:val="BodyText"/>
        <w:spacing w:before="1"/>
        <w:ind w:left="100"/>
      </w:pPr>
      <w:r>
        <w:rPr>
          <w:b w:val="0"/>
          <w:i w:val="0"/>
          <w:u w:val="none"/>
        </w:rPr>
        <w:t>Temporary or bi-monthly in aerated glass hobby gardens, fruit and vegetable nursery, containers built for warehousing local in players incremental crops of plant in joint watering and combination produced</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this:</w:t>
      </w:r>
    </w:p>
    <w:p>
      <w:pPr>
        <w:pStyle w:val="BodyText"/>
        <w:spacing w:before="2"/>
        <w:rPr>
          <w:b/>
          <w:sz w:val="18"/>
        </w:rPr>
      </w:pPr>
    </w:p>
    <w:p>
      <w:pPr>
        <w:pStyle w:val="BodyText"/>
        <w:ind w:left="100" w:right="191"/>
      </w:pPr>
      <w:r>
        <w:rPr/>
        <w:t xml:space="preserve"> Coffee, tea, cocoa, rice, honey, glucose, cocoa balsamic, sugar, coffee substitutes coffee substitutes, desiccated passed and un run fruits and vegetables, tea, flour, taffeta, sago, jellies, eggs, peaches, honey, dried fruits, molasses, oil timesols, sponges, potato starch, cooked starch, mashed potato starch, sorghum flour, boards of preserved potato for use in food processes, onions and potatoes.</w:t>
      </w:r>
    </w:p>
    <w:p>
      <w:pPr>
        <w:pStyle w:val="BodyText"/>
        <w:spacing w:before="10"/>
        <w:rPr>
          <w:sz w:val="17"/>
        </w:rPr>
      </w:pPr>
    </w:p>
    <w:p>
      <w:pPr>
        <w:pStyle w:val="BodyText"/>
        <w:ind w:left="100"/>
      </w:pPr>
      <w:r>
        <w:rPr/>
        <w:t xml:space="preserve"> Sugar and honey is comprised only of the honey metabolized by the fructose functional alcohol in butter.</w:t>
      </w:r>
    </w:p>
    <w:p>
      <w:pPr>
        <w:pStyle w:val="BodyText"/>
        <w:spacing w:before="1"/>
        <w:rPr>
          <w:sz w:val="18"/>
        </w:rPr>
      </w:pPr>
    </w:p>
    <w:p>
      <w:pPr>
        <w:pStyle w:val="BodyText"/>
        <w:ind w:left="100" w:right="215"/>
      </w:pPr>
      <w:r>
        <w:rPr/>
        <w:t>Pressed or self-rising fewed kiwifruit is not considered as a test fruit.</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TEXTEX TRANSAFER</w:t>
      </w:r>
    </w:p>
    <w:p>
      <w:pPr>
        <w:pStyle w:val="BodyText"/>
        <w:spacing w:before="2"/>
        <w:rPr>
          <w:b/>
          <w:sz w:val="18"/>
        </w:rPr>
      </w:pPr>
    </w:p>
    <w:p>
      <w:pPr>
        <w:pStyle w:val="BodyText"/>
        <w:ind w:left="100" w:right="240"/>
      </w:pPr>
      <w:r>
        <w:rPr>
          <w:b w:val="0"/>
          <w:i w:val="0"/>
          <w:u w:val="none"/>
        </w:rPr>
        <w:t xml:space="preserve"> General indexation rates for goods will apply to customs returns FOR USED GOODS UNDER SUBMERGERY TAX SPECIAL IMMIGRATION NOTICES MAR2014 SCHEDULE 3 QUOTA THEFTTS</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Chapter 28BIG Small Business Rules Act 1995</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 xml:space="preserve"> # Unless otherwise indicated rates for Malaysian originating goods are Free. To qualify for a rate increase on Trans-Pacific Partnership originating goods, refer to Table 3 of the Tariff Concession Orders:</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 Unless otherwise indicated general rate applies for NZ originating goods;</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 xml:space="preserve"> Schedule 7 Rate</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 xml:space="preserve"> # Unless otherwise indicated general rate applies for HK, KR, SG and TW originating goods;</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 xml:space="preserve"> # Unless otherwise indicated general rate applies</w:t>
      </w:r>
    </w:p>
    <w:p>
      <w:pPr>
        <w:pStyle w:val="BodyText"/>
        <w:spacing w:before="2"/>
        <w:rPr>
          <w:sz w:val="18"/>
        </w:rPr>
      </w:pPr>
    </w:p>
    <w:p>
      <w:pPr>
        <w:pStyle w:val="BodyText"/>
        <w:ind w:left="100" w:right="519"/>
      </w:pPr>
      <w:r>
        <w:rPr/>
        <w:t>&gt;# Unless otherwise indicated general rate applies for Thai originating goods;</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 Unless otherwise indicated rates for other countries and places apply.</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 xml:space="preserve"> * Unless otherwise indicated rates for Singaporean originating goods are Free.</w:t>
      </w:r>
    </w:p>
    <w:p>
      <w:pPr>
        <w:pStyle w:val="BodyText"/>
        <w:spacing w:before="1"/>
        <w:rPr>
          <w:sz w:val="18"/>
        </w:rPr>
      </w:pPr>
    </w:p>
    <w:p>
      <w:pPr>
        <w:pStyle w:val="BodyText"/>
        <w:spacing w:before="1"/>
        <w:ind w:left="100" w:right="251"/>
      </w:pPr>
      <w:r>
        <w:rPr/>
        <w:t>* Unless indicated in Schedules 4A, 5, 6, 7, 8, 9, 10, 11 or 12 rates for Thai originating goods are Free.</w:t>
      </w:r>
    </w:p>
    <w:p>
      <w:pPr>
        <w:spacing w:after="0"/>
        <w:sectPr>
          <w:pgSz w:w="11900" w:h="16840"/>
          <w:pgMar w:top="500" w:bottom="280" w:left="600" w:right="540"/>
        </w:sectPr>
      </w:pPr>
    </w:p>
    <w:p>
      <w:pPr>
        <w:pStyle w:val="BodyText"/>
        <w:spacing w:before="78"/>
        <w:ind w:left="100"/>
      </w:pPr>
      <w:r>
        <w:rPr/>
        <w:t xml:space="preserve"> * Unless indicated in Schedules 4A, 5, 6, 7, 8, 9, 10, 11 or 12 rates for Malaysian originating goods are Free.</w:t>
      </w:r>
    </w:p>
    <w:p>
      <w:pPr>
        <w:pStyle w:val="BodyText"/>
        <w:spacing w:before="1"/>
        <w:rPr>
          <w:sz w:val="18"/>
        </w:rPr>
      </w:pPr>
    </w:p>
    <w:p>
      <w:pPr>
        <w:pStyle w:val="BodyText"/>
        <w:ind w:left="100"/>
      </w:pPr>
      <w:r>
        <w:rPr/>
        <w:t xml:space="preserve"> * Unless indicated in Schedules 4A, 5, 6, 7, 8, 9, 10, 11 or 12 rates for Thai originating goods are Free.</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 xml:space="preserve"> Tariff Concession</w:t>
      </w:r>
      <w:r>
        <w:rPr>
          <w:spacing w:val="-1"/>
        </w:rPr>
      </w:r>
      <w:r>
        <w:rPr/>
      </w:r>
    </w:p>
    <w:p>
      <w:pPr>
        <w:pStyle w:val="BodyText"/>
        <w:spacing w:before="1"/>
        <w:rPr>
          <w:b/>
          <w:sz w:val="18"/>
        </w:rPr>
      </w:pPr>
    </w:p>
    <w:p>
      <w:pPr>
        <w:pStyle w:val="BodyText"/>
        <w:ind w:left="100" w:right="150"/>
      </w:pPr>
      <w:r>
        <w:rPr/>
        <w:t xml:space="preserve"> Schedule 7/8 sets out the rate for Malaysian originating goods—a general rate per kilogram of tobacco content of at least HK$48.36, for non- Malaysian originating goods classified under special import declarations. From 1 January 2020, customs and excise duty rates outlined in Schedule 7/16 will supersede the general rate for HK, KR, SG and TW originating goods,</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so the new rates for those countries and places will apply.</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 xml:space="preserve"> ““TIBL – tee bra symbol on half- moon, double &amp; horizontal hat stripes horizontal stripes, six macrons</w:t>
      </w:r>
      <w:r>
        <w:rPr>
          <w:spacing w:val="-4"/>
          <w:sz w:val="21"/>
        </w:rPr>
      </w:r>
      <w:r>
        <w:rPr>
          <w:sz w:val="21"/>
        </w:rPr>
      </w:r>
    </w:p>
    <w:p>
      <w:pPr>
        <w:pStyle w:val="BodyText"/>
        <w:spacing w:before="2"/>
        <w:ind w:left="100"/>
      </w:pPr>
      <w:r>
        <w:rPr/>
        <w:t>28 Name or insignia of approved design.</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TEXTEX TRANSAFER</w:t>
      </w:r>
    </w:p>
    <w:p>
      <w:pPr>
        <w:pStyle w:val="BodyText"/>
        <w:spacing w:before="1"/>
        <w:rPr>
          <w:b/>
          <w:sz w:val="18"/>
        </w:rPr>
      </w:pPr>
    </w:p>
    <w:p>
      <w:pPr>
        <w:pStyle w:val="BodyText"/>
        <w:ind w:left="100" w:right="448"/>
      </w:pPr>
      <w:r>
        <w:rPr>
          <w:b w:val="0"/>
          <w:i w:val="0"/>
          <w:u w:val="none"/>
        </w:rPr>
        <w:t>Schedule 8/5 sets out the rate for Thai originating goods—a general rate per kilogram of tobacco content of at least 45.61.30, for non- Malaysian originating goods classified under special import declarations. From 1 January 2020, customs and excise duty rates outlined in Schedule 8/16 will supersede those for HK, KR, SG and TW originating goods,so the new rates for those countries and places will apply.</w:t>
      </w:r>
      <w:r>
        <w:rPr>
          <w:b/>
        </w:rPr>
      </w:r>
      <w:r>
        <w:rPr/>
      </w:r>
      <w:r>
        <w:rPr>
          <w:b/>
        </w:rPr>
      </w:r>
      <w:r>
        <w:rPr/>
      </w:r>
    </w:p>
    <w:p>
      <w:pPr>
        <w:pStyle w:val="BodyText"/>
        <w:spacing w:before="9"/>
        <w:rPr>
          <w:sz w:val="17"/>
        </w:rPr>
      </w:pPr>
    </w:p>
    <w:p>
      <w:pPr>
        <w:pStyle w:val="BodyText"/>
        <w:ind w:left="100" w:right="89"/>
      </w:pPr>
      <w:r>
        <w:rPr/>
        <w:t>““TIBL – tee bra symbol on half- moon, double &amp; horizontal hat stripes horizontal stripes, six macrons</w:t>
      </w:r>
    </w:p>
    <w:p>
      <w:pPr>
        <w:pStyle w:val="BodyText"/>
        <w:rPr>
          <w:sz w:val="18"/>
        </w:rPr>
      </w:pPr>
    </w:p>
    <w:p>
      <w:pPr>
        <w:pStyle w:val="BodyText"/>
        <w:ind w:left="100" w:right="191"/>
      </w:pPr>
      <w:r>
        <w:rPr/>
        <w:t xml:space="preserve"> 28 Goods made from tobacco, whether direct or manufactured products, or from tobacco produced or manufactured in Thailand and other Thai countries.</w:t>
      </w:r>
    </w:p>
    <w:p>
      <w:pPr>
        <w:pStyle w:val="BodyText"/>
        <w:rPr>
          <w:sz w:val="18"/>
        </w:rPr>
      </w:pPr>
    </w:p>
    <w:p>
      <w:pPr>
        <w:pStyle w:val="BodyText"/>
        <w:ind w:left="100" w:right="402"/>
      </w:pPr>
      <w:r>
        <w:rPr/>
        <w:t>““TIBL – tee bra symbol on half- moon, double &amp; horizontal hat stripes horizontal stripes, five macrons</w:t>
      </w:r>
    </w:p>
    <w:p>
      <w:pPr>
        <w:pStyle w:val="BodyText"/>
        <w:rPr>
          <w:sz w:val="18"/>
        </w:rPr>
      </w:pPr>
    </w:p>
    <w:p>
      <w:pPr>
        <w:pStyle w:val="BodyText"/>
        <w:ind w:left="100" w:right="112"/>
      </w:pPr>
      <w:r>
        <w:rPr/>
        <w:t>Item 35 – Tobacco 18 Tobacco products except: tobacco concentrates, tobacco extracts, tobacco products notincluded in other classes, see text.</w:t>
      </w:r>
    </w:p>
    <w:p>
      <w:pPr>
        <w:pStyle w:val="BodyText"/>
        <w:spacing w:line="239" w:lineRule="exact"/>
        <w:ind w:left="100"/>
      </w:pPr>
      <w:r>
        <w:rPr/>
        <w:t>Item 36 – Tobacco products consisting of tobacco and tobacco leaves</w:t>
      </w:r>
    </w:p>
    <w:p>
      <w:pPr>
        <w:pStyle w:val="BodyText"/>
        <w:spacing w:before="1"/>
        <w:rPr>
          <w:sz w:val="18"/>
        </w:rPr>
      </w:pPr>
    </w:p>
    <w:p>
      <w:pPr>
        <w:pStyle w:val="BodyText"/>
        <w:spacing w:before="1"/>
        <w:ind w:left="100"/>
      </w:pPr>
      <w:r>
        <w:rPr/>
        <w:t xml:space="preserve"> Item 39 – Tobacco and tobacco products including cigarillos; cigarillos not in other classes, tobacco cigarettes, snuff products.</w:t>
      </w:r>
    </w:p>
    <w:p>
      <w:pPr>
        <w:pStyle w:val="BodyText"/>
        <w:spacing w:before="1"/>
        <w:rPr>
          <w:sz w:val="18"/>
        </w:rPr>
      </w:pPr>
    </w:p>
    <w:p>
      <w:pPr>
        <w:pStyle w:val="BodyText"/>
        <w:ind w:left="100"/>
      </w:pPr>
      <w:r>
        <w:rPr/>
        <w:t>°25 Tobacco products in class 25, including tobacco and tobacco products, articles of wood with or without a leaf, wood used in building, building materials of wood, pulleme, tar only, blended tobacco and un blended tobacco.</w:t>
      </w:r>
    </w:p>
    <w:p>
      <w:pPr>
        <w:pStyle w:val="BodyText"/>
        <w:spacing w:before="10"/>
        <w:rPr>
          <w:sz w:val="17"/>
        </w:rPr>
      </w:pPr>
    </w:p>
    <w:p>
      <w:pPr>
        <w:pStyle w:val="Heading1"/>
        <w:spacing w:line="241" w:lineRule="exact"/>
      </w:pPr>
      <w:r>
        <w:rPr/>
        <w:t>TRACTURA</w:t>
      </w:r>
    </w:p>
    <w:p>
      <w:pPr>
        <w:pStyle w:val="BodyText"/>
        <w:ind w:left="100" w:right="4902"/>
      </w:pPr>
      <w:r>
        <w:rPr/>
        <w:t>1 Burr, kangaroo, rearing lion, antenna connected with ltr stars in circle</w:t>
      </w:r>
    </w:p>
    <w:p>
      <w:pPr>
        <w:pStyle w:val="BodyText"/>
        <w:spacing w:line="239" w:lineRule="exact"/>
        <w:ind w:left="100"/>
      </w:pPr>
      <w:r>
        <w:rPr/>
        <w:t>Commencement of final goods</w:t>
      </w:r>
    </w:p>
    <w:p>
      <w:pPr>
        <w:pStyle w:val="BodyText"/>
        <w:spacing w:before="1"/>
        <w:rPr>
          <w:sz w:val="18"/>
        </w:rPr>
      </w:pPr>
    </w:p>
    <w:p>
      <w:pPr>
        <w:pStyle w:val="Heading1"/>
        <w:spacing w:line="241" w:lineRule="exact"/>
      </w:pPr>
      <w:r>
        <w:rPr/>
        <w:t>Victoria</w:t>
      </w:r>
    </w:p>
    <w:p>
      <w:pPr>
        <w:pStyle w:val="BodyText"/>
        <w:ind w:left="100" w:right="5796"/>
      </w:pPr>
      <w:r>
        <w:rPr/>
        <w:t xml:space="preserve"> Duty’s, custom’s and excise duty rates are Free. For Schedule 8 items containing tobacco, excise duty levels below the rate above the customs rate amounts to excise duty.</w:t>
      </w:r>
    </w:p>
    <w:p>
      <w:pPr>
        <w:pStyle w:val="BodyText"/>
        <w:spacing w:line="239" w:lineRule="exact"/>
        <w:ind w:left="100"/>
      </w:pPr>
      <w:r>
        <w:rPr/>
        <w:t>Duty’s are Free for paddy (wild spotted)</w:t>
      </w:r>
    </w:p>
    <w:p>
      <w:pPr>
        <w:pStyle w:val="BodyText"/>
        <w:spacing w:before="1"/>
        <w:rPr>
          <w:sz w:val="18"/>
        </w:rPr>
      </w:pPr>
    </w:p>
    <w:p>
      <w:pPr>
        <w:pStyle w:val="Heading1"/>
        <w:spacing w:line="241" w:lineRule="exact"/>
      </w:pPr>
      <w:r>
        <w:rPr/>
        <w:t>TRACTURA</w:t>
      </w:r>
    </w:p>
    <w:p>
      <w:pPr>
        <w:pStyle w:val="BodyText"/>
        <w:ind w:left="100" w:right="5796"/>
      </w:pPr>
      <w:r>
        <w:rPr/>
        <w:t xml:space="preserve"> 8 Brandy, liqueurs, mineral and aerated waters; vinegar and fruit juices; fruit juice drinks, fruit juices products, lemonades; syrups and other preparations for making beverages.</w:t>
      </w:r>
    </w:p>
    <w:p>
      <w:pPr>
        <w:pStyle w:val="BodyText"/>
        <w:spacing w:before="9"/>
        <w:rPr>
          <w:sz w:val="17"/>
        </w:rPr>
      </w:pPr>
    </w:p>
    <w:p>
      <w:pPr>
        <w:pStyle w:val="Heading1"/>
        <w:spacing w:line="241" w:lineRule="exact"/>
      </w:pPr>
      <w:r>
        <w:rPr/>
        <w:t>TRACTURA</w:t>
      </w:r>
    </w:p>
    <w:p>
      <w:pPr>
        <w:pStyle w:val="BodyText"/>
        <w:ind w:left="100" w:right="5971"/>
      </w:pPr>
      <w:r>
        <w:rPr/>
        <w:t>12 Tobacco, cigarettes, cigarettes and cigarillos in class 12.</w:t>
      </w:r>
    </w:p>
    <w:p>
      <w:pPr>
        <w:pStyle w:val="BodyText"/>
        <w:spacing w:line="239" w:lineRule="exact"/>
        <w:ind w:left="100"/>
      </w:pPr>
      <w:r>
        <w:rPr/>
        <w:t>322 all goods in this class.</w:t>
      </w:r>
    </w:p>
    <w:p>
      <w:pPr>
        <w:pStyle w:val="BodyText"/>
        <w:spacing w:before="1"/>
        <w:rPr>
          <w:sz w:val="18"/>
        </w:rPr>
      </w:pPr>
    </w:p>
    <w:p>
      <w:pPr>
        <w:spacing w:before="0"/>
        <w:ind w:left="100" w:right="7949" w:firstLine="0"/>
        <w:jc w:val="left"/>
        <w:rPr>
          <w:sz w:val="21"/>
        </w:rPr>
      </w:pPr>
      <w:r>
        <w:rPr>
          <w:b w:val="0"/>
          <w:i w:val="0"/>
          <w:sz w:val="21"/>
          <w:u w:val="none"/>
        </w:rPr>
        <w:t xml:space="preserve"> Any goods in this class harbouring tobacco or</w:t>
      </w:r>
      <w:r>
        <w:rPr>
          <w:sz w:val="21"/>
        </w:rPr>
      </w:r>
    </w:p>
    <w:p>
      <w:pPr>
        <w:spacing w:after="0"/>
        <w:jc w:val="left"/>
        <w:rPr>
          <w:sz w:val="21"/>
        </w:rPr>
        <w:sectPr>
          <w:pgSz w:w="11900" w:h="16840"/>
          <w:pgMar w:top="500" w:bottom="280" w:left="600" w:right="540"/>
        </w:sectPr>
      </w:pPr>
    </w:p>
    <w:p>
      <w:pPr>
        <w:pStyle w:val="BodyText"/>
        <w:spacing w:before="78"/>
        <w:ind w:left="100" w:right="5796"/>
      </w:pPr>
      <w:r>
        <w:rPr/>
        <w:t>Non- tobacco products in this class and non- tobacco goods in class 24.</w:t>
      </w:r>
    </w:p>
    <w:p>
      <w:pPr>
        <w:pStyle w:val="BodyText"/>
        <w:rPr>
          <w:sz w:val="18"/>
        </w:rPr>
      </w:pPr>
    </w:p>
    <w:p>
      <w:pPr>
        <w:pStyle w:val="Heading1"/>
        <w:spacing w:line="241" w:lineRule="exact"/>
      </w:pPr>
      <w:r>
        <w:rPr/>
        <w:t>TRACTURA</w:t>
      </w:r>
    </w:p>
    <w:p>
      <w:pPr>
        <w:pStyle w:val="BodyText"/>
        <w:spacing w:line="240" w:lineRule="exact"/>
        <w:ind w:left="100"/>
      </w:pPr>
      <w:r>
        <w:rPr/>
        <w:t xml:space="preserve"> 12 Non- cigarettes ; cigarettes</w:t>
      </w:r>
    </w:p>
    <w:p>
      <w:pPr>
        <w:pStyle w:val="BodyText"/>
        <w:ind w:left="100" w:right="5796"/>
      </w:pPr>
      <w:r>
        <w:rPr/>
        <w:t>Flakes of tobacco and tobacco products; tobacco tow only; rolls, snuff and rolled tobacco.</w:t>
      </w:r>
    </w:p>
    <w:p>
      <w:pPr>
        <w:pStyle w:val="BodyText"/>
        <w:spacing w:before="10"/>
        <w:rPr>
          <w:sz w:val="17"/>
        </w:rPr>
      </w:pPr>
    </w:p>
    <w:p>
      <w:pPr>
        <w:pStyle w:val="Heading1"/>
        <w:spacing w:line="241" w:lineRule="exact" w:before="1"/>
      </w:pPr>
      <w:r>
        <w:rPr/>
        <w:t>Tasmania</w:t>
      </w:r>
    </w:p>
    <w:p>
      <w:pPr>
        <w:pStyle w:val="BodyText"/>
        <w:ind w:left="100" w:right="6951"/>
      </w:pPr>
      <w:r>
        <w:rPr/>
        <w:t xml:space="preserve"> Personnel regiments consisting of basic and advanced customs customs officers.</w:t>
      </w:r>
    </w:p>
    <w:p>
      <w:pPr>
        <w:pStyle w:val="BodyText"/>
        <w:spacing w:line="239" w:lineRule="exact"/>
        <w:ind w:left="100"/>
      </w:pPr>
      <w:r>
        <w:rPr/>
        <w:t>Copies of certificates of origin or similar documents</w:t>
      </w:r>
    </w:p>
    <w:p>
      <w:pPr>
        <w:pStyle w:val="BodyText"/>
        <w:rPr>
          <w:sz w:val="18"/>
        </w:rPr>
      </w:pPr>
    </w:p>
    <w:p>
      <w:pPr>
        <w:pStyle w:val="BodyText"/>
        <w:spacing w:line="241" w:lineRule="exact"/>
        <w:ind w:left="100"/>
      </w:pPr>
      <w:r>
        <w:rPr/>
        <w:t>Attachment A</w:t>
      </w:r>
    </w:p>
    <w:p>
      <w:pPr>
        <w:pStyle w:val="BodyText"/>
        <w:ind w:left="100" w:right="6951"/>
      </w:pPr>
      <w:r>
        <w:rPr/>
        <w:t>Chilean three-point dagger</w:t>
      </w:r>
    </w:p>
    <w:p>
      <w:pPr>
        <w:pStyle w:val="BodyText"/>
        <w:rPr>
          <w:sz w:val="18"/>
        </w:rPr>
      </w:pPr>
    </w:p>
    <w:p>
      <w:pPr>
        <w:pStyle w:val="BodyText"/>
        <w:ind w:left="100"/>
      </w:pPr>
      <w:r>
        <w:rPr/>
        <w:t>5 Puff stamps</w:t>
      </w:r>
    </w:p>
    <w:p>
      <w:pPr>
        <w:pStyle w:val="BodyText"/>
        <w:spacing w:before="1"/>
        <w:rPr>
          <w:sz w:val="18"/>
        </w:rPr>
      </w:pPr>
    </w:p>
    <w:p>
      <w:pPr>
        <w:pStyle w:val="BodyText"/>
        <w:ind w:left="100"/>
      </w:pPr>
      <w:r>
        <w:rPr/>
        <w:t xml:space="preserve"> Inquiries in relation to this</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