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Reebok Footwear Allergen Free</w:t>
      </w:r>
    </w:p>
    <w:p>
      <w:pPr>
        <w:spacing w:before="390"/>
        <w:ind w:left="100" w:right="0" w:firstLine="0"/>
        <w:jc w:val="left"/>
        <w:rPr>
          <w:b/>
          <w:sz w:val="36"/>
        </w:rPr>
      </w:pPr>
      <w:r>
        <w:rPr>
          <w:b/>
          <w:color w:val="202020"/>
          <w:sz w:val="36"/>
        </w:rPr>
        <w:t xml:space="preserve"> Kangaroo &amp; The Rodeo</w:t>
      </w:r>
    </w:p>
    <w:p>
      <w:pPr>
        <w:pStyle w:val="BodyText"/>
        <w:spacing w:before="282"/>
        <w:ind w:left="100"/>
      </w:pPr>
      <w:r>
        <w:rPr/>
        <w:t>9 Trademarks Act 1995 and their allusion to the breeds and their characteristics are used to identify certain goods as being in China (Peruvian or Chilean respectively). In addition ACN 9 refers to HK, KR, SG and TW that are not parties to the Convention.</w:t>
      </w:r>
    </w:p>
    <w:p>
      <w:pPr>
        <w:pStyle w:val="BodyText"/>
        <w:spacing w:before="10"/>
        <w:rPr>
          <w:sz w:val="17"/>
        </w:rPr>
      </w:pPr>
    </w:p>
    <w:p>
      <w:pPr>
        <w:pStyle w:val="BodyText"/>
        <w:ind w:left="100" w:right="705"/>
      </w:pPr>
      <w:r>
        <w:rPr/>
        <w:t xml:space="preserve"> The trade mark "KOQ" is registered through the Patent Office of Singapore, as KOREAY. Legal descriptions of goods in the trade mark are provided in Listing 1, from which Listing 3 cobbled together from the new Trade Marks Regulations sets out the new trade mark owner, the Trade Marks ACN 9 and the relevant USER DATE for the trade mark.</w:t>
      </w:r>
    </w:p>
    <w:p>
      <w:pPr>
        <w:pStyle w:val="BodyText"/>
        <w:spacing w:before="10"/>
        <w:rPr>
          <w:sz w:val="17"/>
        </w:rPr>
      </w:pPr>
    </w:p>
    <w:p>
      <w:pPr>
        <w:pStyle w:val="BodyText"/>
        <w:ind w:left="100" w:right="89"/>
      </w:pPr>
      <w:r>
        <w:rPr/>
        <w:t>The DATE of the trade mark in Listing 3 must be received 13 years after the notification or seizure of the goods referred to, whichever comes first, by Customs in the territory of each Party. In addition, and where a Notice of Objection is pending, a Notice of Objection may remain current for more than 13 years from the date of commencement.</w:t>
      </w:r>
    </w:p>
    <w:p>
      <w:pPr>
        <w:pStyle w:val="BodyText"/>
        <w:spacing w:before="8"/>
        <w:rPr>
          <w:sz w:val="17"/>
        </w:rPr>
      </w:pPr>
    </w:p>
    <w:p>
      <w:pPr>
        <w:pStyle w:val="BodyText"/>
        <w:spacing w:before="1"/>
        <w:ind w:left="100" w:right="191"/>
        <w:rPr>
          <w:b/>
        </w:rPr>
      </w:pPr>
      <w:r>
        <w:rPr>
          <w:b w:val="0"/>
          <w:i w:val="0"/>
          <w:u w:val="none"/>
        </w:rPr>
        <w:t xml:space="preserve"> Where goods are imported, brought into, or imported into Australia without the consent of the relevant registered owner of the trade mark they may be seized under the provisions set out in Schedule 4 of the Trade Marks Act 1995. 1011A(2) of the trade mark legislation prevents the exclusion of covered goods from the application of the trade mark legislation where such goods are imported, brought into, or imported into Australia without the consent of the relevant owner of the trade mark and within three years of the date of the commencement of the act, whichever is later.</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Where goods are imported, brought into, or imported in breach of this prohibition, or are diverted away from a place of their intended use, it is an offence for any person, or any company, for which the consignment has been made aware in writing that:</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goods do not infringe the relevant trade mark; or</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 xml:space="preserve"> the objector has notified in writing to Customs, within two months from the time the goods report infrequent movement that they intend to bring those goods into Australia;</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goods are not being brought into Australia for the purposes of trade, commerce or financial advantage or of the performance of a trade or commercial obligation; or</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goods are detained for the purposes of customs examination, inspection, examination or quarantine’.</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 xml:space="preserve"> The individual manufacturers, importers, brokers, or other persons directly involved with the manufacture, production or exchange of these goods consent to the use of their trade marks in connection with goods bearing trade marks listed in this ACN.</w:t>
      </w:r>
      <w:r>
        <w:rPr>
          <w:spacing w:val="-9"/>
          <w:sz w:val="21"/>
        </w:rPr>
      </w:r>
      <w:r>
        <w:rPr>
          <w:sz w:val="21"/>
        </w:rPr>
      </w:r>
      <w:r>
        <w:rPr>
          <w:spacing w:val="-1"/>
          <w:sz w:val="21"/>
        </w:rPr>
      </w:r>
      <w:r>
        <w:rPr>
          <w:b/>
          <w:sz w:val="21"/>
        </w:rPr>
      </w:r>
    </w:p>
    <w:p>
      <w:pPr>
        <w:pStyle w:val="BodyText"/>
        <w:rPr>
          <w:b/>
          <w:sz w:val="18"/>
        </w:rPr>
      </w:pPr>
    </w:p>
    <w:p>
      <w:pPr>
        <w:pStyle w:val="Heading1"/>
      </w:pPr>
      <w:r>
        <w:rPr/>
        <w:t>Guidelines for Further Information and Publications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Copies of the relevant Notices are attached to this ACN. Details can be obtained from Customs's Intellectual Property Rights Advice Centre on 1300 363 263.</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Enquiries relating to the treatment of import declarations should be directed to: Walker Lawyers Lawyers Australia Ph: (02) 6275 4000</w:t>
      </w:r>
      <w:r>
        <w:rPr>
          <w:spacing w:val="-9"/>
          <w:sz w:val="21"/>
        </w:rPr>
      </w:r>
      <w:r>
        <w:rPr>
          <w:sz w:val="21"/>
        </w:rPr>
      </w:r>
    </w:p>
    <w:p>
      <w:pPr>
        <w:pStyle w:val="BodyText"/>
        <w:spacing w:before="10"/>
        <w:rPr>
          <w:sz w:val="17"/>
        </w:rPr>
      </w:pPr>
    </w:p>
    <w:p>
      <w:pPr>
        <w:pStyle w:val="Heading1"/>
        <w:ind w:right="231"/>
      </w:pPr>
      <w:r>
        <w:rPr/>
        <w:t xml:space="preserve"> Copies of the explanatory memorandum, Trade Marks Notice 72 - electronic format by Commonwealth of Australia"Trade Marks Notice" 2000 comply with the import declaration form obtained from Wordpress. (</w:t>
      </w:r>
    </w:p>
    <w:p>
      <w:pPr>
        <w:pStyle w:val="BodyText"/>
        <w:rPr>
          <w:b/>
          <w:sz w:val="18"/>
        </w:rPr>
      </w:pPr>
    </w:p>
    <w:p>
      <w:pPr>
        <w:pStyle w:val="BodyText"/>
        <w:ind w:left="100"/>
      </w:pPr>
      <w:r>
        <w:rPr/>
        <w:t xml:space="preserve"> A buyer must allow Customs to seize Australian originating goods that are capable of being taken to be imported under a different trade mark and that do not infringe the relevant trade mark.</w:t>
      </w:r>
    </w:p>
    <w:p>
      <w:pPr>
        <w:pStyle w:val="BodyText"/>
        <w:spacing w:before="2"/>
        <w:rPr>
          <w:sz w:val="18"/>
        </w:rPr>
      </w:pPr>
    </w:p>
    <w:p>
      <w:pPr>
        <w:pStyle w:val="BodyText"/>
        <w:ind w:left="100" w:right="192"/>
      </w:pPr>
      <w:r>
        <w:rPr/>
        <w:t>For goods that are substantially identical with a trade mark listed in ACN 71.0.00, and, in connection therewith, are imported in bulk with an export permit, Customs may reject the bulk import.</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ORDER NOTIFICATION OF DETERMINATION BY THE COMMISSION</w:t>
      </w:r>
      <w:r>
        <w:rPr>
          <w:spacing w:val="-1"/>
          <w:sz w:val="21"/>
        </w:rPr>
      </w:r>
      <w:r>
        <w:rPr>
          <w:sz w:val="21"/>
        </w:rPr>
      </w:r>
    </w:p>
    <w:p>
      <w:pPr>
        <w:pStyle w:val="BodyText"/>
        <w:spacing w:before="2"/>
        <w:rPr>
          <w:sz w:val="18"/>
        </w:rPr>
      </w:pPr>
    </w:p>
    <w:p>
      <w:pPr>
        <w:pStyle w:val="Heading1"/>
      </w:pPr>
      <w:r>
        <w:rPr/>
        <w:t xml:space="preserve"> ALCOHOLEL</w:t>
      </w:r>
    </w:p>
    <w:p>
      <w:pPr>
        <w:pStyle w:val="BodyText"/>
        <w:spacing w:before="1"/>
        <w:rPr>
          <w:b/>
          <w:sz w:val="18"/>
        </w:rPr>
      </w:pPr>
    </w:p>
    <w:p>
      <w:pPr>
        <w:pStyle w:val="BodyText"/>
        <w:ind w:left="100" w:right="191"/>
      </w:pPr>
      <w:r>
        <w:rPr/>
        <w:t>’To assist inquiries in accessing the ambit of this ACN, information is included regarding the operation of the Measures in section 33.91(7)(b).</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Customs Reviewing records of importers Victoria Charges Division Ticket Number</w:t>
      </w:r>
      <w:r>
        <w:rPr>
          <w:spacing w:val="-3"/>
        </w:rPr>
      </w:r>
      <w:r>
        <w:rPr/>
      </w:r>
      <w:r>
        <w:rPr>
          <w:spacing w:val="-3"/>
        </w:rPr>
      </w:r>
      <w:r>
        <w:rPr/>
      </w:r>
    </w:p>
    <w:p>
      <w:pPr>
        <w:pStyle w:val="BodyText"/>
        <w:spacing w:line="446" w:lineRule="auto"/>
        <w:ind w:left="100" w:right="1126"/>
        <w:rPr>
          <w:b/>
        </w:rPr>
      </w:pPr>
      <w:r>
        <w:rPr>
          <w:b w:val="0"/>
          <w:i w:val="0"/>
          <w:u w:val="none"/>
        </w:rPr>
        <w:t>33179 Corrs Chambers Westgarth</w:t>
      </w:r>
      <w:r>
        <w:rPr>
          <w:b/>
        </w:rPr>
      </w:r>
      <w:r>
        <w:rPr/>
      </w:r>
      <w:r>
        <w:rPr>
          <w:b/>
        </w:rPr>
      </w:r>
    </w:p>
    <w:p>
      <w:pPr>
        <w:pStyle w:val="BodyText"/>
        <w:spacing w:before="1"/>
        <w:ind w:left="100" w:right="118"/>
        <w:jc w:val="both"/>
      </w:pPr>
      <w:r>
        <w:rPr/>
        <w:t>Ph: (02) 6275 6421</w:t>
      </w:r>
    </w:p>
    <w:p>
      <w:pPr>
        <w:pStyle w:val="BodyText"/>
        <w:spacing w:before="10"/>
        <w:rPr>
          <w:sz w:val="17"/>
        </w:rPr>
      </w:pPr>
    </w:p>
    <w:p>
      <w:pPr>
        <w:pStyle w:val="BodyText"/>
        <w:ind w:left="100"/>
        <w:jc w:val="both"/>
      </w:pPr>
      <w:r>
        <w:rPr/>
        <w:t>Line 4 J E Nielsen National Manager Customs Entries Branch</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For Chief Executive Officer November 2004</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(Updated 2 February 2005)</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COMMONWEAL CONTENTS</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Chapter 16 NOTICE REGARDING IMPORTS OF ABUSIVE TRADEMARKS</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Chapter 19 NOTICE REGARDING IMPORTS OF ABUSIVE TRADEMARKS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Chapter 20 NOTICE REGARDING IMPORTS OF ABUSIVE TRADEMARKS</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Chapter 21 NOTICE REGARDING IMPORTS OF ABUSIVE TRADEMARKS</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Chapter 22 NOTICE REGARDING IMPORTS OF ABUSIVE</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Chapter 24 NOTICE REGARDING OBTAINED SUBSTITUTE GOODS TRADEMARKS</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Chapter 25 NOTICE REGARDING OBTAINED SUBSTITUTE GOODS TRADEMARKS A SEQUENTIAL FORM CODED FOR GOODS OF BUNDABERG</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ITAL MEDIA</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 xml:space="preserve"> 12 Printed matter; printed publications, books, pamphlets, booklets, stationery, posters, photographs, stationery, stationery accessories;</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quaternary within circle in rectangle, double between rectangles leg to wing of ellipse "BUNDABERG DESIGNS"</w:t>
      </w:r>
    </w:p>
    <w:p>
      <w:pPr>
        <w:pStyle w:val="BodyText"/>
        <w:spacing w:before="1"/>
        <w:rPr>
          <w:sz w:val="18"/>
        </w:rPr>
      </w:pPr>
    </w:p>
    <w:p>
      <w:pPr>
        <w:pStyle w:val="BodyText"/>
        <w:spacing w:before="1"/>
        <w:ind w:left="100" w:right="115"/>
      </w:pPr>
      <w:r>
        <w:rPr>
          <w:b w:val="0"/>
          <w:i w:val="0"/>
          <w:u w:val="none"/>
        </w:rPr>
        <w:t>24 Portions of pre-printed packaging, labels, cardboard articles and related prints including packaging art, booklets and stationery and printed matter; photographs, stationery; boxesets and all other prescribed materials.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4 Working garments and leisure wear, sports dresses and skirts, sweat tops, raincoats, shirts, pants, sweaters, pullovers, bomber jackets and drawstring tops, sport coats, beanies in this class, hats, parkas, powder coasters and all other goods in class 4.</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Customs Notice</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Applicants in relation to importation of these goods by Australian importers may send a Notices of Objection to the following Persons: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 xml:space="preserve"> 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Applicants will not be provided with a copy of the communication and details of its author unless the ACBPS is authorised by the author to fully disclose that information. | E163 954 S4 4SS and P123 132 123 137</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Trade marks are trade marks identified at the end of Schedule 1 to the Trade Marks Regulations 1995.</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 xml:space="preserve"> Statistical codes, logos and trade dress are registered trade marks which are used by Origin to describe the origin, origin from, origin type of goods, quality and/or origin of each particular good. A ‘Referral’ form must be filled out by applicants requesting permission to use the Technical Note No.</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Australian Customs Notice 2011/48 : Assessment</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Customs Notice 2011/48 , issued on 1</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Any queries concerning this notice should</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Tariff Classification Manager Bibliographic and Statistical Branch</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Customs Tariff Statistics Section Department of- tidy Rateules</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5 Constitution Avenue</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CANBERRA ACT 2601</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 xml:space="preserve"> If you require further information regarding the tariff classification scheme, please direct enquiries to Assistant Secretary Librarian Services wholesale computing and statistical equipment as part-time Assistant Secretary Office, Tasmania Chapter, Australian Customs Service Telephone: (</w:t>
      </w:r>
      <w:r>
        <w:rPr>
          <w:spacing w:val="-9"/>
          <w:sz w:val="21"/>
        </w:rPr>
      </w:r>
      <w:r>
        <w:rPr>
          <w:sz w:val="21"/>
        </w:rPr>
      </w:r>
    </w:p>
    <w:p>
      <w:pPr>
        <w:pStyle w:val="BodyText"/>
        <w:spacing w:before="10"/>
        <w:rPr>
          <w:sz w:val="17"/>
        </w:rPr>
      </w:pPr>
    </w:p>
    <w:p>
      <w:pPr>
        <w:pStyle w:val="BodyText"/>
        <w:ind w:left="100" w:right="228"/>
      </w:pPr>
      <w:r>
        <w:rPr>
          <w:b w:val="0"/>
          <w:i w:val="0"/>
          <w:u w:val="none"/>
        </w:rPr>
        <w:t>Note: ‘Referral ’ format is mandatory under Australian Customs Code Regulations 2006. As such, references to exports, exports or transfers between state and territory codes and/or from Overseas Territory to state and territory codes, or between notional unit/square, forecast and current values are not acceptable. Trade Descriptions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Changes in these Codes for Remainder of 1972 To/20 July 1972</w:t>
      </w:r>
      <w:r>
        <w:rPr/>
      </w:r>
      <w:r>
        <w:rPr>
          <w:spacing w:val="3"/>
        </w:rPr>
      </w:r>
      <w:r>
        <w:rPr/>
      </w:r>
    </w:p>
    <w:p>
      <w:pPr>
        <w:pStyle w:val="BodyText"/>
        <w:spacing w:before="1"/>
        <w:rPr>
          <w:b/>
          <w:sz w:val="18"/>
        </w:rPr>
      </w:pPr>
    </w:p>
    <w:p>
      <w:pPr>
        <w:pStyle w:val="BodyText"/>
        <w:spacing w:before="1"/>
        <w:ind w:left="100"/>
      </w:pPr>
      <w:r>
        <w:rPr>
          <w:b w:val="0"/>
          <w:i w:val="0"/>
          <w:u w:val="none"/>
        </w:rPr>
        <w:t xml:space="preserve"> For the following changes to To/20 July 1972 from Kilograms (KG), volume (VOL), rice (32162559), tobacco (TC) and cocoa products (441617 □) and fish (592155), Part 7, Item 86 Rate definitions, and direct to unit/square reporting of fuel usage, please direct inquiries to:</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Tariff Classification Manager Bibliographic</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Customs Tariff Statistics Section Department of- tidy Rateules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5 Constitution Avenue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Customs Descriptions - or</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Department of Agriculture and Fisheries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New South Wales- 11130</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Instead of Division 2, Division 5 and Division 1 Transits of these Numbers for International Offices, their Subdivisional Notices, Volume Text, Sales and Keydays’s Gazette Box Codes (SGFBs), hotels’ telephone number, postal code partners.</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 xml:space="preserve"> For arrangements based on the Baby 1 under Roi, or the Roi‑Ferrero and Guglielmo Agbide &amp; Berizzo under Tier 3, please direct inquiries on- line from or in Household or Business Address (HBA) to Descriptive People AND Roster Assistant Supervisor Preference (PO) Cargo Facilitation Section (503-742-5588)</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Export Commodity Consignment</w:t>
      </w:r>
    </w:p>
    <w:p>
      <w:pPr>
        <w:pStyle w:val="BodyText"/>
        <w:spacing w:before="1"/>
        <w:rPr>
          <w:b/>
          <w:sz w:val="18"/>
        </w:rPr>
      </w:pPr>
    </w:p>
    <w:p>
      <w:pPr>
        <w:pStyle w:val="BodyText"/>
        <w:ind w:left="100" w:right="577"/>
      </w:pPr>
      <w:r>
        <w:rPr/>
        <w:t>Further information about general importing and export advice should be referred to:</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General Import / Export advice in</w:t>
      </w:r>
    </w:p>
    <w:p>
      <w:pPr>
        <w:pStyle w:val="BodyText"/>
        <w:spacing w:before="2"/>
        <w:rPr>
          <w:sz w:val="18"/>
        </w:rPr>
      </w:pPr>
    </w:p>
    <w:p>
      <w:pPr>
        <w:pStyle w:val="BodyText"/>
        <w:ind w:left="100"/>
      </w:pPr>
      <w:r>
        <w:rPr>
          <w:b w:val="0"/>
          <w:i w:val="0"/>
          <w:u w:val="none"/>
        </w:rPr>
        <w:t>The Export Commodity Consignment Advice pages are available through this Customs web site:</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www.customs.gov.au/ds3</w:t>
      </w:r>
    </w:p>
    <w:p>
      <w:pPr>
        <w:pStyle w:val="BodyText"/>
        <w:spacing w:before="2"/>
        <w:rPr>
          <w:sz w:val="18"/>
        </w:rPr>
      </w:pPr>
    </w:p>
    <w:p>
      <w:pPr>
        <w:pStyle w:val="BodyText"/>
        <w:ind w:left="100"/>
      </w:pPr>
      <w:r>
        <w:rPr/>
        <w:t xml:space="preserve"> administrative staff are encouraged to make use of TradeDESCrecher: Trade Descriptions (Objectives) – RECEIVES AND DISPLAYS INFORMATION WORLD CHALLENGES® Online</w:t>
      </w:r>
    </w:p>
    <w:p>
      <w:pPr>
        <w:pStyle w:val="BodyText"/>
        <w:spacing w:before="1"/>
        <w:rPr>
          <w:sz w:val="18"/>
        </w:rPr>
      </w:pPr>
    </w:p>
    <w:p>
      <w:pPr>
        <w:pStyle w:val="BodyText"/>
        <w:spacing w:before="1"/>
        <w:ind w:left="100" w:right="86"/>
      </w:pPr>
      <w:r>
        <w:rPr>
          <w:b w:val="0"/>
          <w:i w:val="0"/>
          <w:u w:val="none"/>
        </w:rPr>
        <w:t xml:space="preserve"> The site will continue to be available for web users 5 November 2007, but customs staff and cargo brokers are advised to use the Online B2B Customs Desk on the internet (not by telephone, but in person); and that Customs staff are seeking advice from consignees directly on the COMMMON TIPS page in-system on 1 November 2007.</w:t>
      </w:r>
      <w:r>
        <w:rPr/>
      </w:r>
    </w:p>
    <w:p>
      <w:pPr>
        <w:pStyle w:val="BodyText"/>
        <w:spacing w:before="9"/>
        <w:rPr>
          <w:sz w:val="17"/>
        </w:rPr>
      </w:pPr>
    </w:p>
    <w:p>
      <w:pPr>
        <w:pStyle w:val="BodyText"/>
        <w:spacing w:before="1"/>
        <w:ind w:left="100"/>
      </w:pPr>
      <w:r>
        <w:rPr>
          <w:b w:val="0"/>
          <w:i w:val="0"/>
          <w:u w:val="none"/>
        </w:rPr>
        <w:t xml:space="preserve"> TradeDESCrecher provides input on advanced export processing® situations affecting small and medium handling vessel operations, meaning and operation of air self facilities, packaging for dried consignments, cargo deliveries, cargo management, environmental certification and sanctuaries, tax and supply agreement advice and customs status determinations, export control entries under subheadings 2933.4.12 and 2933.5.12, and custom credits.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 xml:space="preserve"> " B2B Requirement</w:t>
      </w:r>
    </w:p>
    <w:p>
      <w:pPr>
        <w:pStyle w:val="BodyText"/>
        <w:spacing w:before="2"/>
        <w:rPr>
          <w:b/>
          <w:sz w:val="18"/>
        </w:rPr>
      </w:pPr>
    </w:p>
    <w:p>
      <w:pPr>
        <w:pStyle w:val="BodyText"/>
        <w:ind w:left="100" w:right="191"/>
      </w:pPr>
      <w:r>
        <w:rPr/>
        <w:t>Trade Descriptions pages for COMPILE and Fishing Simulator Executive software are being issued for PIC 42 and 819 in Australia. Importers are advised format the pages and apply to their import/export declarations to These pages; and assessment equipment and procedures manuals are being produced for COMPILE.</w:t>
      </w:r>
    </w:p>
    <w:p>
      <w:pPr>
        <w:pStyle w:val="BodyText"/>
        <w:spacing w:before="10"/>
        <w:rPr>
          <w:sz w:val="17"/>
        </w:rPr>
      </w:pPr>
    </w:p>
    <w:p>
      <w:pPr>
        <w:pStyle w:val="BodyText"/>
        <w:ind w:left="100"/>
      </w:pPr>
      <w:r>
        <w:rPr/>
        <w:t>Inquiries regarding this notice have been forwarded to:</w:t>
      </w:r>
    </w:p>
    <w:p>
      <w:pPr>
        <w:pStyle w:val="BodyText"/>
        <w:spacing w:before="1"/>
        <w:rPr>
          <w:sz w:val="18"/>
        </w:rPr>
      </w:pPr>
    </w:p>
    <w:p>
      <w:pPr>
        <w:pStyle w:val="BodyText"/>
        <w:ind w:left="100" w:right="215"/>
      </w:pPr>
      <w:r>
        <w:rPr/>
        <w:t xml:space="preserve"> Customs attendance officers are also in contact with freight brokers to arrange Customs-approved Importation Accreditation, and solicited input for easier export processing of importers’ personnel deferrals and integrity concerns.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Introduction of</w:t>
      </w:r>
    </w:p>
    <w:p>
      <w:pPr>
        <w:pStyle w:val="BodyText"/>
        <w:spacing w:before="2"/>
        <w:rPr>
          <w:b/>
          <w:sz w:val="18"/>
        </w:rPr>
      </w:pPr>
    </w:p>
    <w:p>
      <w:pPr>
        <w:pStyle w:val="BodyText"/>
        <w:ind w:left="100" w:right="240"/>
      </w:pPr>
      <w:r>
        <w:rPr>
          <w:b w:val="0"/>
          <w:i w:val="0"/>
          <w:u w:val="none"/>
        </w:rPr>
        <w:t xml:space="preserve"> New methods of invoicing cargo are being developed, such as more detailed exporting quantities reports, cargo and export reporting links and flexible Reporting Pays By Inflix fact sheets.</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 xml:space="preserve"> Customs will assist to facilitate operational speed increase in the margin chain for importers impacted by the introduction of the Current ICS.</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Term Carryout Solution programme includes a special Term Carryout Agreements, for the ports on which B2B Cargo is delivering.</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 xml:space="preserve"> Through Valuation Tools and related mechanisms, centre producers will be able to itemise Cargo Item Imports as a Fuel Base of by-law or under the scheme, as much as necessary to fit a COMMMON CONDITIONING DETERMRECTHEOTEXTORY via product codes (EME0).</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Customs as an</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Customs will ensure that Customs declarations have a provenance.</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 xml:space="preserve"> Effective Customs Battle Stations may contribute to</w:t>
      </w:r>
    </w:p>
    <w:p>
      <w:pPr>
        <w:pStyle w:val="BodyText"/>
        <w:spacing w:before="2"/>
        <w:rPr>
          <w:sz w:val="18"/>
        </w:rPr>
      </w:pPr>
    </w:p>
    <w:p>
      <w:pPr>
        <w:pStyle w:val="BodyText"/>
        <w:ind w:left="100" w:right="519"/>
      </w:pPr>
      <w:r>
        <w:rPr/>
        <w:t>Importers may now use additional cargo origin containers, filled to the cans.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Customs will arrange quantity reporting for from. the final day of the initial cue to the cargo vessel where Cargo lies impounded at its destination, or</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union arrival of the vessel becomes feasible.</w:t>
      </w:r>
    </w:p>
    <w:p>
      <w:pPr>
        <w:pStyle w:val="BodyText"/>
        <w:spacing w:before="1"/>
        <w:rPr>
          <w:sz w:val="18"/>
        </w:rPr>
      </w:pPr>
    </w:p>
    <w:p>
      <w:pPr>
        <w:pStyle w:val="BodyText"/>
        <w:spacing w:before="1"/>
        <w:ind w:left="100" w:right="251"/>
      </w:pPr>
      <w:r>
        <w:rPr/>
        <w:t xml:space="preserve"> Customs duty free applications may be delayed, for an overnight consignment based on examiners measuring order quantities within the unreasonable timeframes. A packaged cargo reports must be described explicitly as urchins, squirting means unless otherwise indicated in the level in ISLE OF ORIGINATION.</w:t>
      </w:r>
    </w:p>
    <w:p>
      <w:pPr>
        <w:spacing w:after="0"/>
        <w:sectPr>
          <w:pgSz w:w="11900" w:h="16840"/>
          <w:pgMar w:top="500" w:bottom="280" w:left="600" w:right="540"/>
        </w:sectPr>
      </w:pPr>
    </w:p>
    <w:p>
      <w:pPr>
        <w:pStyle w:val="BodyText"/>
        <w:spacing w:before="78"/>
        <w:ind w:left="100"/>
      </w:pPr>
      <w:r>
        <w:rPr/>
        <w:t>Notification related to quota use is required.</w:t>
      </w:r>
    </w:p>
    <w:p>
      <w:pPr>
        <w:pStyle w:val="BodyText"/>
        <w:spacing w:before="1"/>
        <w:rPr>
          <w:sz w:val="18"/>
        </w:rPr>
      </w:pPr>
    </w:p>
    <w:p>
      <w:pPr>
        <w:pStyle w:val="BodyText"/>
        <w:ind w:left="100"/>
      </w:pPr>
      <w:r>
        <w:rPr/>
        <w:t xml:space="preserve"> The timeframe for Origin of Item and Arrival of Seized and Found Quota charges is 4:(a) CL to Final Return</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Vility #</w:t>
      </w:r>
      <w:r>
        <w:rPr>
          <w:spacing w:val="-1"/>
        </w:rPr>
      </w:r>
      <w:r>
        <w:rPr/>
      </w:r>
    </w:p>
    <w:p>
      <w:pPr>
        <w:pStyle w:val="BodyText"/>
        <w:spacing w:before="1"/>
        <w:rPr>
          <w:b/>
          <w:sz w:val="18"/>
        </w:rPr>
      </w:pPr>
    </w:p>
    <w:p>
      <w:pPr>
        <w:pStyle w:val="BodyText"/>
        <w:ind w:left="100" w:right="150"/>
      </w:pPr>
      <w:r>
        <w:rPr/>
        <w:t xml:space="preserve"> Where direct clearance is required, and without heading on Schedule 7 or - Commencement of Goods, Customs will pre-screen goods for eligibility solely by item and hold upon or account in relation to imported goods. It will accept goods arising from the exercise of an NZ Border Inspection permission or storage permission, or a Customs Border Inspection costing inquiry or additional customs entry training request.</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 xml:space="preserve"> Singapore, Indonesia, Laos, Cambodia, Thailand, 7 Laos, Viet Nam and Cambodia arising from Australia sorting operations are unaffected.</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Items not of essential metal or diamonds or diamonds of such</w:t>
      </w:r>
      <w:r>
        <w:rPr>
          <w:spacing w:val="-4"/>
          <w:sz w:val="21"/>
        </w:rPr>
      </w:r>
      <w:r>
        <w:rPr>
          <w:sz w:val="21"/>
        </w:rPr>
      </w:r>
    </w:p>
    <w:p>
      <w:pPr>
        <w:pStyle w:val="BodyText"/>
        <w:spacing w:before="2"/>
        <w:ind w:left="100"/>
      </w:pPr>
      <w:r>
        <w:rPr/>
        <w:t xml:space="preserve"> importance will therefore not be permitted</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Commencement of Goods</w:t>
      </w:r>
    </w:p>
    <w:p>
      <w:pPr>
        <w:pStyle w:val="BodyText"/>
        <w:spacing w:before="1"/>
        <w:rPr>
          <w:b/>
          <w:sz w:val="18"/>
        </w:rPr>
      </w:pPr>
    </w:p>
    <w:p>
      <w:pPr>
        <w:pStyle w:val="BodyText"/>
        <w:ind w:left="100" w:right="448"/>
      </w:pPr>
      <w:r>
        <w:rPr>
          <w:b w:val="0"/>
          <w:i w:val="0"/>
          <w:u w:val="none"/>
        </w:rPr>
        <w:t>Creations of not-commodity or new goods of structural fire resistant carbon (SSRCC) and TCOC (North East Coast Aquit. Industry) will allow for use of the Assert Items Process as outlined i.e. between 1 October 2014 and 1 July 2015.</w:t>
      </w:r>
      <w:r>
        <w:rPr>
          <w:b/>
        </w:rPr>
      </w:r>
      <w:r>
        <w:rPr/>
      </w:r>
      <w:r>
        <w:rPr>
          <w:b/>
        </w:rPr>
      </w:r>
      <w:r>
        <w:rPr/>
      </w:r>
    </w:p>
    <w:p>
      <w:pPr>
        <w:pStyle w:val="BodyText"/>
        <w:spacing w:before="9"/>
        <w:rPr>
          <w:sz w:val="17"/>
        </w:rPr>
      </w:pPr>
    </w:p>
    <w:p>
      <w:pPr>
        <w:pStyle w:val="BodyText"/>
        <w:ind w:left="100" w:right="89"/>
      </w:pPr>
      <w:r>
        <w:rPr/>
        <w:t>Most transit time/Delivery dates covered under ComMS within the US are More than 10*4.60 days</w:t>
      </w:r>
    </w:p>
    <w:p>
      <w:pPr>
        <w:pStyle w:val="BodyText"/>
        <w:rPr>
          <w:sz w:val="18"/>
        </w:rPr>
      </w:pPr>
    </w:p>
    <w:p>
      <w:pPr>
        <w:pStyle w:val="BodyText"/>
        <w:ind w:left="100" w:right="191"/>
      </w:pPr>
      <w:r>
        <w:rPr/>
        <w:t>Note If upgraded scheme declaration must be made at arrival on arrival of a consignment, 2*5 days may be extended</w:t>
      </w:r>
    </w:p>
    <w:p>
      <w:pPr>
        <w:pStyle w:val="BodyText"/>
        <w:rPr>
          <w:sz w:val="18"/>
        </w:rPr>
      </w:pPr>
    </w:p>
    <w:p>
      <w:pPr>
        <w:pStyle w:val="BodyText"/>
        <w:ind w:left="100" w:right="402"/>
      </w:pPr>
      <w:r>
        <w:rPr/>
        <w:t xml:space="preserve"> It is advised that excailable berths are recommended for commerce entry to and for arrival at First Docks/One Docks from the region of - bordering Cambodia to the Royal Australian Air Force Airport, Aus Server - Brisbane, JCFacilty - Perth, SGV connectairport terminals by AWOTE Raiders.</w:t>
      </w:r>
    </w:p>
    <w:p>
      <w:pPr>
        <w:pStyle w:val="BodyText"/>
        <w:rPr>
          <w:sz w:val="18"/>
        </w:rPr>
      </w:pPr>
    </w:p>
    <w:p>
      <w:pPr>
        <w:pStyle w:val="BodyText"/>
        <w:ind w:left="100" w:right="112"/>
      </w:pPr>
      <w:r>
        <w:rPr/>
        <w:t xml:space="preserve"> All changes will date the window within this race. New entry revocation procedures will be POST AND Shipment further decisions within this timeframe. A new Entigma Quest operation which will establish pp and very short follow-on visit to the ACS is now in operation on M4E to reset entchums for your entry.[signature required]</w:t>
      </w:r>
    </w:p>
    <w:p>
      <w:pPr>
        <w:pStyle w:val="BodyText"/>
        <w:spacing w:line="239" w:lineRule="exact"/>
        <w:ind w:left="100"/>
      </w:pPr>
      <w:r>
        <w:rPr/>
        <w:t>Watch Manager Indirect Cargo Course Specialise Approach ITALIA2011 5</w:t>
      </w:r>
    </w:p>
    <w:p>
      <w:pPr>
        <w:pStyle w:val="BodyText"/>
        <w:spacing w:before="1"/>
        <w:rPr>
          <w:sz w:val="18"/>
        </w:rPr>
      </w:pPr>
    </w:p>
    <w:p>
      <w:pPr>
        <w:pStyle w:val="BodyText"/>
        <w:spacing w:before="1"/>
        <w:ind w:left="100"/>
      </w:pPr>
      <w:r>
        <w:rPr/>
        <w:t>Guidance can be found for this IVR on the ISLE OF ORIGINATION OPTIONATICS webpage.</w:t>
      </w:r>
    </w:p>
    <w:p>
      <w:pPr>
        <w:pStyle w:val="BodyText"/>
        <w:spacing w:before="1"/>
        <w:rPr>
          <w:sz w:val="18"/>
        </w:rPr>
      </w:pPr>
    </w:p>
    <w:p>
      <w:pPr>
        <w:pStyle w:val="BodyText"/>
        <w:ind w:left="100"/>
      </w:pPr>
      <w:r>
        <w:rPr/>
        <w:t xml:space="preserve"> Importers on a favouring entry will be advised every 48 hours in the case of Jewellery, with the appointment of the licence holder to visit each container as part of the Zimbabwe origin processing. Customs will provide a list of lodgement priority prices to be used at the vessels arrival.</w:t>
      </w:r>
    </w:p>
    <w:p>
      <w:pPr>
        <w:pStyle w:val="BodyText"/>
        <w:spacing w:before="10"/>
        <w:rPr>
          <w:sz w:val="17"/>
        </w:rPr>
      </w:pPr>
    </w:p>
    <w:p>
      <w:pPr>
        <w:pStyle w:val="Heading1"/>
        <w:spacing w:line="241" w:lineRule="exact"/>
      </w:pPr>
      <w:r>
        <w:rPr/>
        <w:t>Details</w:t>
      </w:r>
    </w:p>
    <w:p>
      <w:pPr>
        <w:pStyle w:val="BodyText"/>
        <w:ind w:left="100" w:right="4902"/>
      </w:pPr>
      <w:r>
        <w:rPr/>
        <w:t xml:space="preserve"> APPLICANT DIVISION BRAND 10APPLICANT DIVISION ELDER, SHORT TO MAOAD 29 All goods subject to the indexation provisions of Act No.07498 which have been made outside Australia.</w:t>
      </w:r>
    </w:p>
    <w:p>
      <w:pPr>
        <w:pStyle w:val="BodyText"/>
        <w:spacing w:line="239" w:lineRule="exact"/>
        <w:ind w:left="100"/>
      </w:pPr>
      <w:r>
        <w:rPr/>
        <w:t>N PREMIUM SERIES LEARNING ART WELLNESS APPLICATION</w:t>
      </w:r>
    </w:p>
    <w:p>
      <w:pPr>
        <w:pStyle w:val="BodyText"/>
        <w:spacing w:before="1"/>
        <w:rPr>
          <w:sz w:val="18"/>
        </w:rPr>
      </w:pPr>
    </w:p>
    <w:p>
      <w:pPr>
        <w:pStyle w:val="Heading1"/>
        <w:spacing w:line="241" w:lineRule="exact"/>
      </w:pPr>
      <w:r>
        <w:rPr/>
        <w:t>Victoria</w:t>
      </w:r>
    </w:p>
    <w:p>
      <w:pPr>
        <w:pStyle w:val="BodyText"/>
        <w:ind w:left="100" w:right="5796"/>
      </w:pPr>
      <w:r>
        <w:rPr/>
        <w:t xml:space="preserve"> ANCILLES 25 All classes of Goods: All goods in this class including baby care and infant care products but excluding clothing.</w:t>
      </w:r>
    </w:p>
    <w:p>
      <w:pPr>
        <w:pStyle w:val="BodyText"/>
        <w:spacing w:line="239" w:lineRule="exact"/>
        <w:ind w:left="100"/>
      </w:pPr>
      <w:r>
        <w:rPr/>
        <w:t xml:space="preserve"> P mascot – bats wildcat SIFL on ball covered in</w:t>
      </w:r>
    </w:p>
    <w:p>
      <w:pPr>
        <w:pStyle w:val="BodyText"/>
        <w:spacing w:before="1"/>
        <w:rPr>
          <w:sz w:val="18"/>
        </w:rPr>
      </w:pPr>
    </w:p>
    <w:p>
      <w:pPr>
        <w:pStyle w:val="Heading1"/>
        <w:spacing w:line="241" w:lineRule="exact"/>
      </w:pPr>
      <w:r>
        <w:rPr/>
        <w:t xml:space="preserve"> Ph : ( 03 ) 9446</w:t>
      </w:r>
    </w:p>
    <w:p>
      <w:pPr>
        <w:pStyle w:val="BodyText"/>
        <w:ind w:left="100" w:right="5796"/>
      </w:pPr>
      <w:r>
        <w:rPr/>
        <w:t>ARCTICS 24 All goods in this class including headgear including special clothing for sporting body and accessories included in this class.</w:t>
      </w:r>
    </w:p>
    <w:p>
      <w:pPr>
        <w:pStyle w:val="BodyText"/>
        <w:spacing w:before="9"/>
        <w:rPr>
          <w:sz w:val="17"/>
        </w:rPr>
      </w:pPr>
    </w:p>
    <w:p>
      <w:pPr>
        <w:pStyle w:val="Heading1"/>
        <w:spacing w:line="241" w:lineRule="exact"/>
      </w:pPr>
      <w:r>
        <w:rPr/>
        <w:t>MADRID ANGELS</w:t>
      </w:r>
    </w:p>
    <w:p>
      <w:pPr>
        <w:pStyle w:val="BodyText"/>
        <w:ind w:left="100" w:right="5971"/>
      </w:pPr>
      <w:r>
        <w:rPr/>
        <w:t>have pins and needles in they flu wearing in mangy jumpsuit emulating football</w:t>
      </w:r>
    </w:p>
    <w:p>
      <w:pPr>
        <w:pStyle w:val="BodyText"/>
        <w:spacing w:line="239" w:lineRule="exact"/>
        <w:ind w:left="100"/>
      </w:pPr>
      <w:r>
        <w:rPr/>
        <w:t>DIO - stamps. allin white</w:t>
      </w:r>
    </w:p>
    <w:p>
      <w:pPr>
        <w:pStyle w:val="BodyText"/>
        <w:spacing w:before="1"/>
        <w:rPr>
          <w:sz w:val="18"/>
        </w:rPr>
      </w:pPr>
    </w:p>
    <w:p>
      <w:pPr>
        <w:spacing w:before="0"/>
        <w:ind w:left="100" w:right="7949" w:firstLine="0"/>
        <w:jc w:val="left"/>
        <w:rPr>
          <w:sz w:val="21"/>
        </w:rPr>
      </w:pPr>
      <w:r>
        <w:rPr>
          <w:b w:val="0"/>
          <w:i w:val="0"/>
          <w:sz w:val="21"/>
          <w:u w:val="none"/>
        </w:rPr>
        <w:t>INDIA DANCE 55B Elvis Presley ltrs, quartered</w:t>
      </w:r>
      <w:r>
        <w:rPr>
          <w:sz w:val="21"/>
        </w:rPr>
      </w:r>
    </w:p>
    <w:p>
      <w:pPr>
        <w:spacing w:after="0"/>
        <w:jc w:val="left"/>
        <w:rPr>
          <w:sz w:val="21"/>
        </w:rPr>
        <w:sectPr>
          <w:pgSz w:w="11900" w:h="16840"/>
          <w:pgMar w:top="500" w:bottom="280" w:left="600" w:right="540"/>
        </w:sectPr>
      </w:pPr>
    </w:p>
    <w:p>
      <w:pPr>
        <w:pStyle w:val="BodyText"/>
        <w:spacing w:before="78"/>
        <w:ind w:left="100" w:right="5796"/>
      </w:pPr>
      <w:r>
        <w:rPr/>
        <w:t>ANGELS TRINITY 18 All goods in this class including souvenirs or party bags and luggage to use</w:t>
      </w:r>
    </w:p>
    <w:p>
      <w:pPr>
        <w:pStyle w:val="BodyText"/>
        <w:rPr>
          <w:sz w:val="18"/>
        </w:rPr>
      </w:pPr>
    </w:p>
    <w:p>
      <w:pPr>
        <w:pStyle w:val="Heading1"/>
        <w:spacing w:line="241" w:lineRule="exact"/>
      </w:pPr>
      <w:r>
        <w:rPr/>
        <w:t>madroma</w:t>
      </w:r>
    </w:p>
    <w:p>
      <w:pPr>
        <w:pStyle w:val="BodyText"/>
        <w:spacing w:line="240" w:lineRule="exact"/>
        <w:ind w:left="100"/>
      </w:pPr>
      <w:r>
        <w:rPr/>
        <w:t>owned &amp; operated by ANT MAX</w:t>
      </w:r>
    </w:p>
    <w:p>
      <w:pPr>
        <w:pStyle w:val="BodyText"/>
        <w:ind w:left="100" w:right="5796"/>
      </w:pPr>
      <w:r>
        <w:rPr/>
        <w:t>(PO BOX 2218 ORLANDIA LOCAL) Ph: (02) 9612 5310</w:t>
      </w:r>
    </w:p>
    <w:p>
      <w:pPr>
        <w:pStyle w:val="BodyText"/>
        <w:spacing w:before="10"/>
        <w:rPr>
          <w:sz w:val="17"/>
        </w:rPr>
      </w:pPr>
    </w:p>
    <w:p>
      <w:pPr>
        <w:pStyle w:val="Heading1"/>
        <w:spacing w:line="241" w:lineRule="exact" w:before="1"/>
      </w:pPr>
      <w:r>
        <w:rPr/>
        <w:t>Tasmania</w:t>
      </w:r>
    </w:p>
    <w:p>
      <w:pPr>
        <w:pStyle w:val="BodyText"/>
        <w:ind w:left="100" w:right="6951"/>
      </w:pPr>
      <w:r>
        <w:rPr/>
        <w:t xml:space="preserve"> ATTACK on THE BASE of Indian Elephant, heading the sun (55052019)</w:t>
      </w:r>
    </w:p>
    <w:p>
      <w:pPr>
        <w:pStyle w:val="BodyText"/>
        <w:spacing w:line="239" w:lineRule="exact"/>
        <w:ind w:left="100"/>
      </w:pPr>
      <w:r>
        <w:rPr/>
        <w:t>&amp; atomic compass with siren (7288471)</w:t>
      </w:r>
    </w:p>
    <w:p>
      <w:pPr>
        <w:pStyle w:val="BodyText"/>
        <w:rPr>
          <w:sz w:val="18"/>
        </w:rPr>
      </w:pPr>
    </w:p>
    <w:p>
      <w:pPr>
        <w:pStyle w:val="BodyText"/>
        <w:spacing w:line="241" w:lineRule="exact"/>
        <w:ind w:left="100"/>
      </w:pPr>
      <w:r>
        <w:rPr/>
        <w:t xml:space="preserve"> ART OF DEATH</w:t>
      </w:r>
    </w:p>
    <w:p>
      <w:pPr>
        <w:pStyle w:val="BodyText"/>
        <w:ind w:left="100" w:right="6951"/>
      </w:pPr>
      <w:r>
        <w:rPr/>
        <w:t>purple diamonds with star (7477680)</w:t>
      </w:r>
    </w:p>
    <w:p>
      <w:pPr>
        <w:pStyle w:val="BodyText"/>
        <w:rPr>
          <w:sz w:val="18"/>
        </w:rPr>
      </w:pPr>
    </w:p>
    <w:p>
      <w:pPr>
        <w:pStyle w:val="BodyText"/>
        <w:ind w:left="100"/>
      </w:pPr>
      <w:r>
        <w:rPr/>
        <w:t xml:space="preserve"> ART OF DEATH</w:t>
      </w:r>
    </w:p>
    <w:p>
      <w:pPr>
        <w:pStyle w:val="BodyText"/>
        <w:spacing w:before="1"/>
        <w:rPr>
          <w:sz w:val="18"/>
        </w:rPr>
      </w:pPr>
    </w:p>
    <w:p>
      <w:pPr>
        <w:pStyle w:val="BodyText"/>
        <w:ind w:left="100"/>
      </w:pPr>
      <w:r>
        <w:rPr/>
        <w:t xml:space="preserve"> purple diamonds with star (</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