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10 Tables of precious metals.</w:t>
      </w:r>
    </w:p>
    <w:p>
      <w:pPr>
        <w:spacing w:before="390"/>
        <w:ind w:left="100" w:right="0" w:firstLine="0"/>
        <w:jc w:val="left"/>
        <w:rPr>
          <w:b/>
          <w:sz w:val="36"/>
        </w:rPr>
      </w:pPr>
      <w:r>
        <w:rPr>
          <w:b/>
          <w:color w:val="202020"/>
          <w:sz w:val="36"/>
        </w:rPr>
        <w:t xml:space="preserve"> Diamond Trade Mark</w:t>
      </w:r>
    </w:p>
    <w:p>
      <w:pPr>
        <w:pStyle w:val="BodyText"/>
        <w:spacing w:before="282"/>
        <w:ind w:left="100"/>
      </w:pPr>
      <w:r>
        <w:rPr/>
        <w:t xml:space="preserve"> The Australian Customs Service (Customs) will introduce a new trade mark protection scheme shortly. After consultation with industry stakeholders, this scheme will complement the current the Scheme to protect marks which have been incorporated into trade marks.</w:t>
      </w:r>
    </w:p>
    <w:p>
      <w:pPr>
        <w:pStyle w:val="BodyText"/>
        <w:spacing w:before="10"/>
        <w:rPr>
          <w:sz w:val="17"/>
        </w:rPr>
      </w:pPr>
    </w:p>
    <w:p>
      <w:pPr>
        <w:pStyle w:val="BodyText"/>
        <w:ind w:left="100" w:right="705"/>
      </w:pPr>
      <w:r>
        <w:rPr/>
        <w:t xml:space="preserve"> Significantly, however, the single Trade Marks Act (the Trade Marks Act) does not authorise demotion of trade marks by reason of weight. Therefore, a trade mark which has been eligible for a trade mark protection scheme and which has been successfully used in the commercial manufacture of a particular goods (in accordance with several criteria) will still operate on the day designated by the Schedule.</w:t>
      </w:r>
    </w:p>
    <w:p>
      <w:pPr>
        <w:pStyle w:val="BodyText"/>
        <w:spacing w:before="10"/>
        <w:rPr>
          <w:sz w:val="17"/>
        </w:rPr>
      </w:pPr>
    </w:p>
    <w:p>
      <w:pPr>
        <w:pStyle w:val="BodyText"/>
        <w:ind w:left="100" w:right="89"/>
      </w:pPr>
      <w:r>
        <w:rPr/>
        <w:t>This means that other media, such as motion picture films, television programmes, graphic novels, manuals sold as a unit in a shop or over the Internet, where there is no global enforcement authority, will continue to be able to nominate the day of use of the particular sign which has been imported into Australian stores and sold by licensed Licensed Importers.</w:t>
      </w:r>
    </w:p>
    <w:p>
      <w:pPr>
        <w:pStyle w:val="BodyText"/>
        <w:spacing w:before="8"/>
        <w:rPr>
          <w:sz w:val="17"/>
        </w:rPr>
      </w:pPr>
    </w:p>
    <w:p>
      <w:pPr>
        <w:pStyle w:val="BodyText"/>
        <w:spacing w:before="1"/>
        <w:ind w:left="100" w:right="191"/>
        <w:rPr>
          <w:b/>
        </w:rPr>
      </w:pPr>
      <w:r>
        <w:rPr>
          <w:b w:val="0"/>
          <w:i w:val="0"/>
          <w:u w:val="none"/>
        </w:rPr>
        <w:t>Under the current rules, a licensee could "tinker" with a supply chain or add new goods to a supply chain which may represent a trademark. This would invalidate the operation of any legal process which would have been taken to protect the trademark when the licensed mark had been tampered with.</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The new Scheme will manage the management of trademarked inventory by identifying the day of import by the TCO serial number as the day of use of a particular brand. The import prohibition will not apply to claims for which the design or manufacture of the goods makes no substantial alteration to or preference to the goods they represent.</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 xml:space="preserve"> Further details of the machinery for identifying TCO biannual allocations can be found at Schedule 3</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Reasons for limiting usage with TCOs to the end of each 100-unit licensing period are outlined below.</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 xml:space="preserve"> Applications for an existing SharePoint or database airline item should be lodged by the end of the 100-unit license period Distributors should do their best to normalise use of these system items to fleece their suppliers and their clients;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 xml:space="preserve"> Licensed Trademark Holders should note that some current applications may enter the system at the end of the 100-yr licensing period following the closing of the Integrated Cargo System;</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 xml:space="preserve"> Dated and renewed newsletters and pamphlets are still able to be made from a direct link at the TCO purchase; Users who have been subject to a seizure action should be mindful that a greater number of Customs holidays then credits may end up swinging the pendency to tracing a seized goods.</w:t>
      </w:r>
      <w:r>
        <w:rPr>
          <w:spacing w:val="-9"/>
          <w:sz w:val="21"/>
        </w:rPr>
      </w:r>
      <w:r>
        <w:rPr>
          <w:sz w:val="21"/>
        </w:rPr>
      </w:r>
      <w:r>
        <w:rPr>
          <w:spacing w:val="-1"/>
          <w:sz w:val="21"/>
        </w:rPr>
      </w:r>
      <w:r>
        <w:rPr>
          <w:b/>
          <w:sz w:val="21"/>
        </w:rPr>
      </w:r>
    </w:p>
    <w:p>
      <w:pPr>
        <w:pStyle w:val="BodyText"/>
        <w:rPr>
          <w:b/>
          <w:sz w:val="18"/>
        </w:rPr>
      </w:pPr>
    </w:p>
    <w:p>
      <w:pPr>
        <w:pStyle w:val="Heading1"/>
      </w:pPr>
      <w:r>
        <w:rPr/>
        <w:t>Customs Notice on the enhancement of the TCO registration process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Please contact Manager, Customs Tariff Policy on 02 6275 8329 to receive a reprint of the Customs Notice.</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 xml:space="preserve"> Customs will publish new ACN(s) on 06/01/16 confirming that TCOs will continue to fire on the 300 day after the end of each 100-unit license. Customs will also publish notice of this Notice on the website at.</w:t>
      </w:r>
      <w:r>
        <w:rPr>
          <w:spacing w:val="-9"/>
          <w:sz w:val="21"/>
        </w:rPr>
      </w:r>
      <w:r>
        <w:rPr>
          <w:sz w:val="21"/>
        </w:rPr>
      </w:r>
    </w:p>
    <w:p>
      <w:pPr>
        <w:pStyle w:val="BodyText"/>
        <w:spacing w:before="10"/>
        <w:rPr>
          <w:sz w:val="17"/>
        </w:rPr>
      </w:pPr>
    </w:p>
    <w:p>
      <w:pPr>
        <w:pStyle w:val="Heading1"/>
        <w:ind w:right="231"/>
      </w:pPr>
      <w:r>
        <w:rPr/>
        <w:t>The Customs Tariff Amendment (Tackle the Legal Cap and Obligations) Act 2017 and Legislation Amendment (Border Restrictions and Coding System Implementation) Act 2017</w:t>
      </w:r>
    </w:p>
    <w:p>
      <w:pPr>
        <w:pStyle w:val="BodyText"/>
        <w:rPr>
          <w:b/>
          <w:sz w:val="18"/>
        </w:rPr>
      </w:pPr>
    </w:p>
    <w:p>
      <w:pPr>
        <w:pStyle w:val="BodyText"/>
        <w:ind w:left="100"/>
      </w:pPr>
      <w:r>
        <w:rPr/>
        <w:t>Enquiries concerning this notice may be directed to Manager, Border Compliance at</w:t>
      </w:r>
    </w:p>
    <w:p>
      <w:pPr>
        <w:pStyle w:val="BodyText"/>
        <w:spacing w:before="2"/>
        <w:rPr>
          <w:sz w:val="18"/>
        </w:rPr>
      </w:pPr>
    </w:p>
    <w:p>
      <w:pPr>
        <w:pStyle w:val="BodyText"/>
        <w:ind w:left="100" w:right="192"/>
      </w:pPr>
      <w:r>
        <w:rPr/>
        <w:t>Customs could not agree currently which TCOs must retain TCOs where multiple TCOs are lodged from a single licence. Please provide additional information as we discuss this with our regional Executive Officers.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Trusted Trader’s Australian Business Number may be used for licensed Trademarks.</w:t>
      </w:r>
      <w:r>
        <w:rPr>
          <w:spacing w:val="-1"/>
          <w:sz w:val="21"/>
        </w:rPr>
      </w:r>
      <w:r>
        <w:rPr>
          <w:sz w:val="21"/>
        </w:rPr>
      </w:r>
    </w:p>
    <w:p>
      <w:pPr>
        <w:pStyle w:val="BodyText"/>
        <w:spacing w:before="2"/>
        <w:rPr>
          <w:sz w:val="18"/>
        </w:rPr>
      </w:pPr>
    </w:p>
    <w:p>
      <w:pPr>
        <w:pStyle w:val="Heading1"/>
      </w:pPr>
      <w:r>
        <w:rPr/>
        <w:t>Enquiries</w:t>
      </w:r>
    </w:p>
    <w:p>
      <w:pPr>
        <w:pStyle w:val="BodyText"/>
        <w:spacing w:before="1"/>
        <w:rPr>
          <w:b/>
          <w:sz w:val="18"/>
        </w:rPr>
      </w:pPr>
    </w:p>
    <w:p>
      <w:pPr>
        <w:pStyle w:val="BodyText"/>
        <w:ind w:left="100" w:right="191"/>
      </w:pPr>
      <w:r>
        <w:rPr/>
        <w:t>For further information concerning the ABFB’s statistical release please contact Manager, Statistical Issues on 02 6275 6195 or</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and Assistant Director, Statistical Policy and Management on 02 6275 6447</w:t>
      </w:r>
      <w:r>
        <w:rPr>
          <w:spacing w:val="-3"/>
        </w:rPr>
      </w:r>
      <w:r>
        <w:rPr/>
      </w:r>
      <w:r>
        <w:rPr>
          <w:spacing w:val="-3"/>
        </w:rPr>
      </w:r>
      <w:r>
        <w:rPr/>
      </w:r>
    </w:p>
    <w:p>
      <w:pPr>
        <w:pStyle w:val="BodyText"/>
        <w:spacing w:line="446" w:lineRule="auto"/>
        <w:ind w:left="100" w:right="1126"/>
        <w:rPr>
          <w:b/>
        </w:rPr>
      </w:pPr>
      <w:r>
        <w:rPr>
          <w:b w:val="0"/>
          <w:i w:val="0"/>
          <w:u w:val="none"/>
        </w:rPr>
        <w:t xml:space="preserve"> For further information regarding the Customs Tariff Amendment (Tackle the Legal Cap and Obligations) Act 2017 or Legislation Amendment (Border Restrictions and Coding System Implementation) Act 2017 please contact</w:t>
      </w:r>
      <w:r>
        <w:rPr>
          <w:b/>
        </w:rPr>
      </w:r>
      <w:r>
        <w:rPr/>
      </w:r>
      <w:r>
        <w:rPr>
          <w:b/>
        </w:rPr>
      </w:r>
    </w:p>
    <w:p>
      <w:pPr>
        <w:pStyle w:val="BodyText"/>
        <w:spacing w:before="1"/>
        <w:ind w:left="100" w:right="118"/>
        <w:jc w:val="both"/>
      </w:pPr>
      <w:r>
        <w:rPr/>
        <w:t>Inquiries concerning this notice may be directed to Manager, Border Compliance or Manager, Customs Tariff on 02 6275 8329 or email</w:t>
      </w:r>
    </w:p>
    <w:p>
      <w:pPr>
        <w:pStyle w:val="BodyText"/>
        <w:spacing w:before="10"/>
        <w:rPr>
          <w:sz w:val="17"/>
        </w:rPr>
      </w:pPr>
    </w:p>
    <w:p>
      <w:pPr>
        <w:pStyle w:val="BodyText"/>
        <w:ind w:left="100"/>
        <w:jc w:val="both"/>
      </w:pPr>
      <w:r>
        <w:rPr/>
        <w:t xml:space="preserve"> Customs is committed to protecting the confidentiality of trade confidential information. If you require further information or assistance in this regard, please contact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Manager, Compliance Policy, on 03 6275 3845.</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Philomena Carnell</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A / g National Manager</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For</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Chief Executive Officer June 2017</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(Cargo Facilitation Branch CANBERRA ACT</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6 July 2017) Customs File: C01/05940</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Trusted Trader 's Australian Business Number</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Packaging Goods make up a protected area under the trade mark legislation. The focus of this policy is on identifying unauthorised use or misuse of protected marks as indicated below:</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Goods that have been provided to Customs in a ready-to-release form as specified in Schedules 4 to 6 of the Trade Marks Act 1995</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Other licensed</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Businesses importing unlicensed ingredients from Unclassified Customs Offices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Licensed Brokers importing goods on their behalf from Unclassified Customs Offices</w:t>
      </w:r>
    </w:p>
    <w:p>
      <w:pPr>
        <w:pStyle w:val="BodyText"/>
        <w:spacing w:before="1"/>
        <w:rPr>
          <w:sz w:val="18"/>
        </w:rPr>
      </w:pPr>
    </w:p>
    <w:p>
      <w:pPr>
        <w:pStyle w:val="BodyText"/>
        <w:spacing w:before="1"/>
        <w:ind w:left="100" w:right="115"/>
      </w:pPr>
      <w:r>
        <w:rPr>
          <w:b w:val="0"/>
          <w:i w:val="0"/>
          <w:u w:val="none"/>
        </w:rPr>
        <w:t>Approvals for such goods made by importers who have not previously computerised their import declarations has been suspendeduntil mechanisms are in place to enable importers to be registered as import brokers. These arrangements will be made in line with the 1996 Australian Bureau of Statistics Australian Bureau of Statistics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 xml:space="preserve"> Indexation Notice for commodities that are blended or blended product products considering the licensed broker status. In order to use the blend product preference rebate only brokers who have previously computerised their import declarations will be able to participate in blending prohibited blends receiving rebate duties in quota or non-qualifying goods in quota, commencing on 1 January 2015.</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 xml:space="preserve"> Further Information</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 xml:space="preserve"> Item 19 for commodities, relating to the protection of trade marks protecting or naming far-reaching industrial designs in accordance with the principles of fair use is hereby amended to read "Goods that have been provided to Customs in a ready-to-release form as specified in Schedule 4 to the Trade Marks Act 1995</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 xml:space="preserve"> Items 19 of Schedule 6 incorporating trade marks associated with the brands ANACHNIDAE and ANALLAXI contain a list of particulars in a prominent court so that importers are aware of the value placed on those articles. In particular, details of the Trade Marks Owner and Registered Owner and any information on the trade marks is given.</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Item 19 of Schedule 6 is also amended to incorporate the ‘bond vehicles’ rule with an emphasis on the specific Consideration test, therefore goods identified subject to other criteria are now free of any seizure powers under the Act.</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 xml:space="preserve"> Enquiries concerning this notice may be directed to Mr Arthur Amodio on (02) 6275 5795 or on Mr Lee Cotton on (02) 6275 3791.</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Tariff reprint pages to be printed in connection with these changes are: Table number 5 Schedule 5; Schedule 6; table 1 Tables 5A and 6; Schedule 7 to the Customs Tariff Act 1995.</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INDEXATION PROOF STANDARDS</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paragraph 4A(1)(b ) and ( c ) of the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the Temporary Support Orders in Schedule</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 xml:space="preserve"> the TAFTA Process and Term (Notice of Objection) Rules in the Outer Schedule 2 (Division 1D) of the TPAs on the same relevant goods</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Customs Tariff affected by the compacts and the Tribunal ruling</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the TCO Rules that apply to Trade Marks Act 1995 in the trading days immediately preceding 9 July 2013. In the short term, amendments to Item 18 to Schedule 4 and Items 20 to Schedule 6 would not affect the validity of any refund claims made after 11 July 2013.</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New PPR for TCOs and some of TAPIN Number 2 effects Item 17. This alteration would affect only the complete refund claim, which was Maharors priority</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Item 18 would not alter the formulae of item 16. Bilateral Tariff Joint Entry Processing Regulations No. 135 would continue to supersede the existing TCO grant rule.</w:t>
      </w:r>
      <w:r>
        <w:rPr>
          <w:spacing w:val="-9"/>
          <w:sz w:val="21"/>
        </w:rPr>
      </w:r>
      <w:r>
        <w:rPr>
          <w:sz w:val="21"/>
        </w:rPr>
      </w:r>
    </w:p>
    <w:p>
      <w:pPr>
        <w:pStyle w:val="BodyText"/>
        <w:spacing w:before="10"/>
        <w:rPr>
          <w:sz w:val="17"/>
        </w:rPr>
      </w:pPr>
    </w:p>
    <w:p>
      <w:pPr>
        <w:pStyle w:val="BodyText"/>
        <w:ind w:left="100" w:right="228"/>
      </w:pPr>
      <w:r>
        <w:rPr>
          <w:b w:val="0"/>
          <w:i w:val="0"/>
          <w:u w:val="none"/>
        </w:rPr>
        <w:t xml:space="preserve"> A pre--existing advice document providing the Point Rate for CT127 securities (ie, covers of scrap and acrylic) will be no longer accepted. The publication of a complete guide to item 18 is still review-able with the creation of further Customs declarations proposed. The manufacturers of any vehicles required to enter goods eligible for TCO seek concordance and concordance for item 18 before making the due diligence required to relieve themselves of the cost of title checks.</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ATTACHMENT TO ACN ORIGINATING INFORMATION</w:t>
      </w:r>
      <w:r>
        <w:rPr/>
      </w:r>
      <w:r>
        <w:rPr>
          <w:spacing w:val="3"/>
        </w:rPr>
      </w:r>
      <w:r>
        <w:rPr/>
      </w:r>
    </w:p>
    <w:p>
      <w:pPr>
        <w:pStyle w:val="BodyText"/>
        <w:spacing w:before="1"/>
        <w:rPr>
          <w:b/>
          <w:sz w:val="18"/>
        </w:rPr>
      </w:pPr>
    </w:p>
    <w:p>
      <w:pPr>
        <w:pStyle w:val="BodyText"/>
        <w:spacing w:before="1"/>
        <w:ind w:left="100"/>
      </w:pPr>
      <w:r>
        <w:rPr>
          <w:b w:val="0"/>
          <w:i w:val="0"/>
          <w:u w:val="none"/>
        </w:rPr>
        <w:t xml:space="preserve"> These addenda give some evidence that customs activity had in fact commenced on 12 1 2013. Copyright legislation is able to be circumvented by failing to fully comply with payment of legal fees.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Evidence Based Practice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iST digital magazine, Trade Depot!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 xml:space="preserve"> Cheese and risk, Pools whereby an active participant identifies risks. https://www.ccc.gov.au/effectivepractice/citizenscience/download/data/aid/report001/</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COMPANY GUIDELINES</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 xml:space="preserve"> All relevant information proposed here should be made available to Customs on request. Importers, whomever they are, should refer to the Customs Preference Rate Rules for entries that relate to the re-issue date of the ACO or the end date of the relevant ACO. Entries that are valid for two years should be accompanied by a AIS declaration evidencing the period of two years of validity.</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a physical description incident to key functions or events such as automated rollover or three invoices for services for covering other state-specific benefits or notes issued by the business running the benefit;</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 xml:space="preserve"> Also support Evidence based applications, but this may relate only to the goods specific to one entity. Applications for re-issue of the ACO should clearly demonstrate the six year duration with documentation attached by closing "Application for Reissue of ACO Only" and "Request Renewal of ACO" each in Schedule 6.</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A updated Criminal Code and Customs (Prohibited Imports) Amendment (Importation in Certain Enquiries) Regulations 2006 22 will be required for all applications.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ATTACHMENT TO ACN ORIGINATING</w:t>
      </w:r>
    </w:p>
    <w:p>
      <w:pPr>
        <w:pStyle w:val="BodyText"/>
        <w:spacing w:before="1"/>
        <w:rPr>
          <w:b/>
          <w:sz w:val="18"/>
        </w:rPr>
      </w:pPr>
    </w:p>
    <w:p>
      <w:pPr>
        <w:pStyle w:val="BodyText"/>
        <w:ind w:left="100" w:right="577"/>
      </w:pPr>
      <w:r>
        <w:rPr/>
        <w:t xml:space="preserve"> The following Customs request rejected applications to reissue the New Customs Recognition of Prohibited Imports (New Superclass 21) is a guide to (1) the procedural requirements 4 contact, and (2) the communication options</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Customs checks – 10 general safety</w:t>
      </w:r>
    </w:p>
    <w:p>
      <w:pPr>
        <w:pStyle w:val="BodyText"/>
        <w:spacing w:before="2"/>
        <w:rPr>
          <w:sz w:val="18"/>
        </w:rPr>
      </w:pPr>
    </w:p>
    <w:p>
      <w:pPr>
        <w:pStyle w:val="BodyText"/>
        <w:ind w:left="100"/>
      </w:pPr>
      <w:r>
        <w:rPr>
          <w:b w:val="0"/>
          <w:i w:val="0"/>
          <w:u w:val="none"/>
        </w:rPr>
        <w:t xml:space="preserve"> If required prior to sending one's application to Customs, please note the following procedural requirements;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electronic notification</w:t>
      </w:r>
    </w:p>
    <w:p>
      <w:pPr>
        <w:pStyle w:val="BodyText"/>
        <w:spacing w:before="2"/>
        <w:rPr>
          <w:sz w:val="18"/>
        </w:rPr>
      </w:pPr>
    </w:p>
    <w:p>
      <w:pPr>
        <w:pStyle w:val="BodyText"/>
        <w:ind w:left="100"/>
      </w:pPr>
      <w:r>
        <w:rPr/>
        <w:t>proof of attendance from Customs, receipt of proof of attendance, and a database breakdown</w:t>
      </w:r>
    </w:p>
    <w:p>
      <w:pPr>
        <w:pStyle w:val="BodyText"/>
        <w:spacing w:before="1"/>
        <w:rPr>
          <w:sz w:val="18"/>
        </w:rPr>
      </w:pPr>
    </w:p>
    <w:p>
      <w:pPr>
        <w:pStyle w:val="BodyText"/>
        <w:spacing w:before="1"/>
        <w:ind w:left="100" w:right="86"/>
      </w:pPr>
      <w:r>
        <w:rPr>
          <w:b w:val="0"/>
          <w:i w:val="0"/>
          <w:u w:val="none"/>
        </w:rPr>
        <w:t>Claimants should provide a follow up letter advising Customs on their progress and techniques to assist in completing the necessary additional procedural instructions on their application.</w:t>
      </w:r>
      <w:r>
        <w:rPr/>
      </w:r>
    </w:p>
    <w:p>
      <w:pPr>
        <w:pStyle w:val="BodyText"/>
        <w:spacing w:before="9"/>
        <w:rPr>
          <w:sz w:val="17"/>
        </w:rPr>
      </w:pPr>
    </w:p>
    <w:p>
      <w:pPr>
        <w:pStyle w:val="BodyText"/>
        <w:spacing w:before="1"/>
        <w:ind w:left="100"/>
      </w:pPr>
      <w:r>
        <w:rPr>
          <w:b w:val="0"/>
          <w:i w:val="0"/>
          <w:u w:val="none"/>
        </w:rPr>
        <w:t>Certificates of Origin should be attached the Applying/Re-issue and Export (APEX) Form instructions (which have been previously made available within the Customs window on the Integrated Cargo System on this ACN) and copy of the relevant NZST manifest. By contrast, both the Australian Border Force and Customs has provided additional information on their website Actors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 xml:space="preserve"> Corporate</w:t>
      </w:r>
    </w:p>
    <w:p>
      <w:pPr>
        <w:pStyle w:val="BodyText"/>
        <w:spacing w:before="2"/>
        <w:rPr>
          <w:b/>
          <w:sz w:val="18"/>
        </w:rPr>
      </w:pPr>
    </w:p>
    <w:p>
      <w:pPr>
        <w:pStyle w:val="BodyText"/>
        <w:ind w:left="100" w:right="191"/>
      </w:pPr>
      <w:r>
        <w:rPr/>
        <w:t xml:space="preserve"> Once certified, payable in accordance with the requirement to provide proof of involvement, and is paid so before Customs certification expires, GST deductions will be incurred where the original acuer of the goods is a *Organisation which uses the America’s customs facility for export entry and will be liable to carry GST.</w:t>
      </w:r>
    </w:p>
    <w:p>
      <w:pPr>
        <w:pStyle w:val="BodyText"/>
        <w:spacing w:before="10"/>
        <w:rPr>
          <w:sz w:val="17"/>
        </w:rPr>
      </w:pPr>
    </w:p>
    <w:p>
      <w:pPr>
        <w:pStyle w:val="BodyText"/>
        <w:ind w:left="100"/>
      </w:pPr>
      <w:r>
        <w:rPr/>
        <w:t xml:space="preserve"> Work activities performed by exporters on behalf of Customs, such as protection and duty collection activities.</w:t>
      </w:r>
    </w:p>
    <w:p>
      <w:pPr>
        <w:pStyle w:val="BodyText"/>
        <w:spacing w:before="1"/>
        <w:rPr>
          <w:sz w:val="18"/>
        </w:rPr>
      </w:pPr>
    </w:p>
    <w:p>
      <w:pPr>
        <w:pStyle w:val="BodyText"/>
        <w:ind w:left="100" w:right="215"/>
      </w:pPr>
      <w:r>
        <w:rPr/>
        <w:t xml:space="preserve"> Enquiries in regards to this ACN may be directed to the NSW and Tasmania Trans-Pacific Partnership Division of the Trans-Pacific Partnership Council on telephone number (02) 6264 6499 or facsimile (02) 6264 5282.</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 xml:space="preserve"> New Customs Act</w:t>
      </w:r>
    </w:p>
    <w:p>
      <w:pPr>
        <w:pStyle w:val="BodyText"/>
        <w:spacing w:before="2"/>
        <w:rPr>
          <w:b/>
          <w:sz w:val="18"/>
        </w:rPr>
      </w:pPr>
    </w:p>
    <w:p>
      <w:pPr>
        <w:pStyle w:val="BodyText"/>
        <w:ind w:left="100" w:right="240"/>
      </w:pPr>
      <w:r>
        <w:rPr>
          <w:b w:val="0"/>
          <w:i w:val="0"/>
          <w:u w:val="none"/>
        </w:rPr>
        <w:t>See Trade Measures Amendment Regulations 2007 (Schedules 7 and 8) for details of accepted procedures at link</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Attachment "To: ACN ORIGINATING INFORMATION COMMENTS TO"</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Automotive and Passenger Aviation Regulations 1999 Revenue Acts section 2 – &gt; Customs – Trans-Pacific PartnershipManagement</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Statistical Code Changes – 33 Goods Textile and Textile Textile (Trim) Australian Customs Service Customs Branch Canberra 2605</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Acting Assistant</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Customs 5 Constitution Avenue</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CANBERRA ACT 2600</w:t>
      </w:r>
    </w:p>
    <w:p>
      <w:pPr>
        <w:pStyle w:val="BodyText"/>
        <w:spacing w:before="2"/>
        <w:rPr>
          <w:sz w:val="18"/>
        </w:rPr>
      </w:pPr>
    </w:p>
    <w:p>
      <w:pPr>
        <w:pStyle w:val="BodyText"/>
        <w:ind w:left="100" w:right="519"/>
      </w:pPr>
      <w:r>
        <w:rPr/>
        <w:t xml:space="preserve"> Any enquiries concerning this notice may be directed to Manager, Trade and Accounting on (02) 6275 6191 or facsimile (02) 6275 6699.</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Andrew Rice National Director</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Regional Assistant Secretary</w:t>
      </w:r>
    </w:p>
    <w:p>
      <w:pPr>
        <w:pStyle w:val="BodyText"/>
        <w:spacing w:before="1"/>
        <w:rPr>
          <w:sz w:val="18"/>
        </w:rPr>
      </w:pPr>
    </w:p>
    <w:p>
      <w:pPr>
        <w:pStyle w:val="BodyText"/>
        <w:spacing w:before="1"/>
        <w:ind w:left="100" w:right="251"/>
      </w:pPr>
      <w:r>
        <w:rPr/>
        <w:t>Trade and Customs Branch CANBERRA ACT</w:t>
      </w:r>
    </w:p>
    <w:p>
      <w:pPr>
        <w:spacing w:after="0"/>
        <w:sectPr>
          <w:pgSz w:w="11900" w:h="16840"/>
          <w:pgMar w:top="500" w:bottom="280" w:left="600" w:right="540"/>
        </w:sectPr>
      </w:pPr>
    </w:p>
    <w:p>
      <w:pPr>
        <w:pStyle w:val="BodyText"/>
        <w:spacing w:before="78"/>
        <w:ind w:left="100"/>
      </w:pPr>
      <w:r>
        <w:rPr/>
        <w:t>August 2006 Community Customs Notices (CCNs)</w:t>
      </w:r>
    </w:p>
    <w:p>
      <w:pPr>
        <w:pStyle w:val="BodyText"/>
        <w:spacing w:before="1"/>
        <w:rPr>
          <w:sz w:val="18"/>
        </w:rPr>
      </w:pPr>
    </w:p>
    <w:p>
      <w:pPr>
        <w:pStyle w:val="BodyText"/>
        <w:ind w:left="100"/>
      </w:pPr>
      <w:r>
        <w:rPr/>
        <w:t xml:space="preserve"> The following CCOs will impact Customs' or Cargo Facilitation's (CFE's) business practices:</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Goods Content</w:t>
      </w:r>
      <w:r>
        <w:rPr>
          <w:spacing w:val="-1"/>
        </w:rPr>
      </w:r>
      <w:r>
        <w:rPr/>
      </w:r>
    </w:p>
    <w:p>
      <w:pPr>
        <w:pStyle w:val="BodyText"/>
        <w:spacing w:before="1"/>
        <w:rPr>
          <w:b/>
          <w:sz w:val="18"/>
        </w:rPr>
      </w:pPr>
    </w:p>
    <w:p>
      <w:pPr>
        <w:pStyle w:val="BodyText"/>
        <w:ind w:left="100" w:right="150"/>
      </w:pPr>
      <w:r>
        <w:rPr/>
        <w:t>Section 153 of the Customs Act 1901 (Customs Act) prescribes matters that need to be reported on an export declaration if the total import value exceeds $10,000 inclusive of any documentary input or tags;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 xml:space="preserve"> Section 14A of the Customs Act gives effect to the administrative obligation of obtaining exposure to Customs to determine whether export cargo exceeds $10,000 of a kind set out in Part 4 of Schedule 2.</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Inquiries concerning statutory matters may be directed to</w:t>
      </w:r>
      <w:r>
        <w:rPr>
          <w:spacing w:val="-4"/>
          <w:sz w:val="21"/>
        </w:rPr>
      </w:r>
      <w:r>
        <w:rPr>
          <w:sz w:val="21"/>
        </w:rPr>
      </w:r>
    </w:p>
    <w:p>
      <w:pPr>
        <w:pStyle w:val="BodyText"/>
        <w:spacing w:before="2"/>
        <w:ind w:left="100"/>
      </w:pPr>
      <w:r>
        <w:rPr/>
        <w:t xml:space="preserve"> A Customs brochure is available on the World</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Trade Measures and</w:t>
      </w:r>
    </w:p>
    <w:p>
      <w:pPr>
        <w:pStyle w:val="BodyText"/>
        <w:spacing w:before="1"/>
        <w:rPr>
          <w:b/>
          <w:sz w:val="18"/>
        </w:rPr>
      </w:pPr>
    </w:p>
    <w:p>
      <w:pPr>
        <w:pStyle w:val="BodyText"/>
        <w:ind w:left="100" w:right="448"/>
      </w:pPr>
      <w:r>
        <w:rPr>
          <w:b w:val="0"/>
          <w:i w:val="0"/>
          <w:u w:val="none"/>
        </w:rPr>
        <w:t>The Australian Quarantine and Inspection Service (AQIS) has declared the above customs rules in force for importation of certain goods from Iran pursuant to the nuclear agreement on atomic-weapons-related matters. The import restriction will commence on 1 January 2007 and will operate subject to the prevailing situation.</w:t>
      </w:r>
      <w:r>
        <w:rPr>
          <w:b/>
        </w:rPr>
      </w:r>
      <w:r>
        <w:rPr/>
      </w:r>
      <w:r>
        <w:rPr>
          <w:b/>
        </w:rPr>
      </w:r>
      <w:r>
        <w:rPr/>
      </w:r>
    </w:p>
    <w:p>
      <w:pPr>
        <w:pStyle w:val="BodyText"/>
        <w:spacing w:before="9"/>
        <w:rPr>
          <w:sz w:val="17"/>
        </w:rPr>
      </w:pPr>
    </w:p>
    <w:p>
      <w:pPr>
        <w:pStyle w:val="BodyText"/>
        <w:ind w:left="100" w:right="89"/>
      </w:pPr>
      <w:r>
        <w:rPr/>
        <w:t>For further information concerning these products to the reception of a notification to customs and surrounds the regulatory updates of the ACN are:</w:t>
      </w:r>
    </w:p>
    <w:p>
      <w:pPr>
        <w:pStyle w:val="BodyText"/>
        <w:rPr>
          <w:sz w:val="18"/>
        </w:rPr>
      </w:pPr>
    </w:p>
    <w:p>
      <w:pPr>
        <w:pStyle w:val="BodyText"/>
        <w:ind w:left="100" w:right="191"/>
      </w:pPr>
      <w:r>
        <w:rPr/>
        <w:t>The following Customs branches offer a telephone number for enquiries.</w:t>
      </w:r>
    </w:p>
    <w:p>
      <w:pPr>
        <w:pStyle w:val="BodyText"/>
        <w:rPr>
          <w:sz w:val="18"/>
        </w:rPr>
      </w:pPr>
    </w:p>
    <w:p>
      <w:pPr>
        <w:pStyle w:val="BodyText"/>
        <w:ind w:left="100" w:right="402"/>
      </w:pPr>
      <w:r>
        <w:rPr/>
        <w:t>For further information on each item or goods in Paragraph 2(c), please contact the respective subordinate office.</w:t>
      </w:r>
    </w:p>
    <w:p>
      <w:pPr>
        <w:pStyle w:val="BodyText"/>
        <w:rPr>
          <w:sz w:val="18"/>
        </w:rPr>
      </w:pPr>
    </w:p>
    <w:p>
      <w:pPr>
        <w:pStyle w:val="BodyText"/>
        <w:ind w:left="100" w:right="112"/>
      </w:pPr>
      <w:r>
        <w:rPr/>
        <w:t>Copies of the relevant Customs declarations, contracts or other authorised documents published in Australian Customs Press in relation to these static pages are available at: Publications Australian Customs Press Chats</w:t>
      </w:r>
    </w:p>
    <w:p>
      <w:pPr>
        <w:pStyle w:val="BodyText"/>
        <w:spacing w:line="239" w:lineRule="exact"/>
        <w:ind w:left="100"/>
      </w:pPr>
      <w:r>
        <w:rPr/>
        <w:t xml:space="preserve"> Access to the administrative regulations subject to the authority to restrict or prohibit importation of prohibited goods from the ASEAN Council Member Countries:</w:t>
      </w:r>
    </w:p>
    <w:p>
      <w:pPr>
        <w:pStyle w:val="BodyText"/>
        <w:spacing w:before="1"/>
        <w:rPr>
          <w:sz w:val="18"/>
        </w:rPr>
      </w:pPr>
    </w:p>
    <w:p>
      <w:pPr>
        <w:pStyle w:val="BodyText"/>
        <w:spacing w:before="1"/>
        <w:ind w:left="100"/>
      </w:pPr>
      <w:r>
        <w:rPr/>
        <w:t xml:space="preserve"> This page containing the new administrative restrictions for the ASEAN is available in Australia and ASEAN.</w:t>
      </w:r>
    </w:p>
    <w:p>
      <w:pPr>
        <w:pStyle w:val="BodyText"/>
        <w:spacing w:before="1"/>
        <w:rPr>
          <w:sz w:val="18"/>
        </w:rPr>
      </w:pPr>
    </w:p>
    <w:p>
      <w:pPr>
        <w:pStyle w:val="BodyText"/>
        <w:ind w:left="100"/>
      </w:pPr>
      <w:r>
        <w:rPr/>
        <w:t>Schedule 8/19 originated the amendments referenced above. Sch AS/10/18 contains the new administrative provisions relating to certain vaccines for prevention of enterovirus disease, and is likely to be available in the near future; SI/Customs Import Controls is available in Australia and ASEAN for reference.</w:t>
      </w:r>
    </w:p>
    <w:p>
      <w:pPr>
        <w:pStyle w:val="BodyText"/>
        <w:spacing w:before="10"/>
        <w:rPr>
          <w:sz w:val="17"/>
        </w:rPr>
      </w:pPr>
    </w:p>
    <w:p>
      <w:pPr>
        <w:pStyle w:val="Heading1"/>
        <w:spacing w:line="241" w:lineRule="exact"/>
      </w:pPr>
      <w:r>
        <w:rPr/>
        <w:t>engagement</w:t>
      </w:r>
    </w:p>
    <w:p>
      <w:pPr>
        <w:pStyle w:val="BodyText"/>
        <w:ind w:left="100" w:right="4902"/>
      </w:pPr>
      <w:r>
        <w:rPr/>
        <w:t>Agreement Implementation and Quinient Legislation</w:t>
      </w:r>
    </w:p>
    <w:p>
      <w:pPr>
        <w:pStyle w:val="BodyText"/>
        <w:spacing w:line="239" w:lineRule="exact"/>
        <w:ind w:left="100"/>
      </w:pPr>
      <w:r>
        <w:rPr/>
        <w:t>Outward, Strategic Data and CTO and GST</w:t>
      </w:r>
    </w:p>
    <w:p>
      <w:pPr>
        <w:pStyle w:val="BodyText"/>
        <w:spacing w:before="1"/>
        <w:rPr>
          <w:sz w:val="18"/>
        </w:rPr>
      </w:pPr>
    </w:p>
    <w:p>
      <w:pPr>
        <w:pStyle w:val="Heading1"/>
        <w:spacing w:line="241" w:lineRule="exact"/>
      </w:pPr>
      <w:r>
        <w:rPr/>
        <w:t>Victoria</w:t>
      </w:r>
    </w:p>
    <w:p>
      <w:pPr>
        <w:pStyle w:val="BodyText"/>
        <w:ind w:left="100" w:right="5796"/>
      </w:pPr>
      <w:r>
        <w:rPr/>
        <w:t xml:space="preserve"> All Customs activity should continue at its initial infra timeframe to capture and disseminate then:</w:t>
      </w:r>
    </w:p>
    <w:p>
      <w:pPr>
        <w:pStyle w:val="BodyText"/>
        <w:spacing w:line="239" w:lineRule="exact"/>
        <w:ind w:left="100"/>
      </w:pPr>
      <w:r>
        <w:rPr/>
        <w:t>AUDIT Report, then AUDIT Report – ADV's version;</w:t>
      </w:r>
    </w:p>
    <w:p>
      <w:pPr>
        <w:pStyle w:val="BodyText"/>
        <w:spacing w:before="1"/>
        <w:rPr>
          <w:sz w:val="18"/>
        </w:rPr>
      </w:pPr>
    </w:p>
    <w:p>
      <w:pPr>
        <w:pStyle w:val="Heading1"/>
        <w:spacing w:line="241" w:lineRule="exact"/>
      </w:pPr>
      <w:r>
        <w:rPr/>
        <w:t>Shared Audit</w:t>
      </w:r>
    </w:p>
    <w:p>
      <w:pPr>
        <w:pStyle w:val="BodyText"/>
        <w:ind w:left="100" w:right="5796"/>
      </w:pPr>
      <w:r>
        <w:rPr/>
        <w:t>General Electronic Import Clearance holders and Record Keeping Companies</w:t>
      </w:r>
    </w:p>
    <w:p>
      <w:pPr>
        <w:pStyle w:val="BodyText"/>
        <w:spacing w:before="9"/>
        <w:rPr>
          <w:sz w:val="17"/>
        </w:rPr>
      </w:pPr>
    </w:p>
    <w:p>
      <w:pPr>
        <w:pStyle w:val="Heading1"/>
        <w:spacing w:line="241" w:lineRule="exact"/>
      </w:pPr>
      <w:r>
        <w:rPr/>
        <w:t xml:space="preserve"> 3 Threshold Data</w:t>
      </w:r>
    </w:p>
    <w:p>
      <w:pPr>
        <w:pStyle w:val="BodyText"/>
        <w:ind w:left="100" w:right="5971"/>
      </w:pPr>
      <w:r>
        <w:rPr/>
        <w:t xml:space="preserve"> AUDIT, Intra Customs Report, INDC and by compliance entity.</w:t>
      </w:r>
    </w:p>
    <w:p>
      <w:pPr>
        <w:pStyle w:val="BodyText"/>
        <w:spacing w:line="239" w:lineRule="exact"/>
        <w:ind w:left="100"/>
      </w:pPr>
      <w:r>
        <w:rPr/>
        <w:t xml:space="preserve"> HARQOLUA supersedes the Current Entry Guidelines</w:t>
      </w:r>
    </w:p>
    <w:p>
      <w:pPr>
        <w:pStyle w:val="BodyText"/>
        <w:spacing w:before="1"/>
        <w:rPr>
          <w:sz w:val="18"/>
        </w:rPr>
      </w:pPr>
    </w:p>
    <w:p>
      <w:pPr>
        <w:spacing w:before="0"/>
        <w:ind w:left="100" w:right="7949" w:firstLine="0"/>
        <w:jc w:val="left"/>
        <w:rPr>
          <w:sz w:val="21"/>
        </w:rPr>
      </w:pPr>
      <w:r>
        <w:rPr>
          <w:b w:val="0"/>
          <w:i w:val="0"/>
          <w:sz w:val="21"/>
          <w:u w:val="none"/>
        </w:rPr>
        <w:t>those in manual categories;</w:t>
      </w:r>
      <w:r>
        <w:rPr>
          <w:sz w:val="21"/>
        </w:rPr>
      </w:r>
    </w:p>
    <w:p>
      <w:pPr>
        <w:spacing w:after="0"/>
        <w:jc w:val="left"/>
        <w:rPr>
          <w:sz w:val="21"/>
        </w:rPr>
        <w:sectPr>
          <w:pgSz w:w="11900" w:h="16840"/>
          <w:pgMar w:top="500" w:bottom="280" w:left="600" w:right="540"/>
        </w:sectPr>
      </w:pPr>
    </w:p>
    <w:p>
      <w:pPr>
        <w:pStyle w:val="BodyText"/>
        <w:spacing w:before="78"/>
        <w:ind w:left="100" w:right="5796"/>
      </w:pPr>
      <w:r>
        <w:rPr/>
        <w:t>affirmation of origin for the specified goods</w:t>
      </w:r>
    </w:p>
    <w:p>
      <w:pPr>
        <w:pStyle w:val="BodyText"/>
        <w:rPr>
          <w:sz w:val="18"/>
        </w:rPr>
      </w:pPr>
    </w:p>
    <w:p>
      <w:pPr>
        <w:pStyle w:val="Heading1"/>
        <w:spacing w:line="241" w:lineRule="exact"/>
      </w:pPr>
      <w:r>
        <w:rPr/>
        <w:t>AM CD</w:t>
      </w:r>
    </w:p>
    <w:p>
      <w:pPr>
        <w:pStyle w:val="BodyText"/>
        <w:spacing w:line="240" w:lineRule="exact"/>
        <w:ind w:left="100"/>
      </w:pPr>
      <w:r>
        <w:rPr/>
        <w:t xml:space="preserve"> ACN Network , Intra Customs</w:t>
      </w:r>
    </w:p>
    <w:p>
      <w:pPr>
        <w:pStyle w:val="BodyText"/>
        <w:ind w:left="100" w:right="5796"/>
      </w:pPr>
      <w:r>
        <w:rPr/>
        <w:t>Copies of the new Import Entry Development Notice and License Agreement Manuals are available at:</w:t>
      </w:r>
    </w:p>
    <w:p>
      <w:pPr>
        <w:pStyle w:val="BodyText"/>
        <w:spacing w:before="10"/>
        <w:rPr>
          <w:sz w:val="17"/>
        </w:rPr>
      </w:pPr>
    </w:p>
    <w:p>
      <w:pPr>
        <w:pStyle w:val="Heading1"/>
        <w:spacing w:line="241" w:lineRule="exact" w:before="1"/>
      </w:pPr>
      <w:r>
        <w:rPr/>
        <w:t>Tasmania</w:t>
      </w:r>
    </w:p>
    <w:p>
      <w:pPr>
        <w:pStyle w:val="BodyText"/>
        <w:ind w:left="100" w:right="6951"/>
      </w:pPr>
      <w:r>
        <w:rPr/>
        <w:t>Administrative and Other Notice Second Messaging</w:t>
      </w:r>
    </w:p>
    <w:p>
      <w:pPr>
        <w:pStyle w:val="BodyText"/>
        <w:spacing w:line="239" w:lineRule="exact"/>
        <w:ind w:left="100"/>
      </w:pPr>
      <w:r>
        <w:rPr/>
        <w:t xml:space="preserve"> Three standard messages are introduced for confirming</w:t>
      </w:r>
    </w:p>
    <w:p>
      <w:pPr>
        <w:pStyle w:val="BodyText"/>
        <w:rPr>
          <w:sz w:val="18"/>
        </w:rPr>
      </w:pPr>
    </w:p>
    <w:p>
      <w:pPr>
        <w:pStyle w:val="BodyText"/>
        <w:spacing w:line="241" w:lineRule="exact"/>
        <w:ind w:left="100"/>
      </w:pPr>
      <w:r>
        <w:rPr/>
        <w:t>Inter;</w:t>
      </w:r>
    </w:p>
    <w:p>
      <w:pPr>
        <w:pStyle w:val="BodyText"/>
        <w:ind w:left="100" w:right="6951"/>
      </w:pPr>
      <w:r>
        <w:rPr/>
        <w:t>Client Feedback cards are now available.</w:t>
      </w:r>
    </w:p>
    <w:p>
      <w:pPr>
        <w:pStyle w:val="BodyText"/>
        <w:rPr>
          <w:sz w:val="18"/>
        </w:rPr>
      </w:pPr>
    </w:p>
    <w:p>
      <w:pPr>
        <w:pStyle w:val="BodyText"/>
        <w:ind w:left="100"/>
      </w:pPr>
      <w:r>
        <w:rPr/>
        <w:t xml:space="preserve"> Commencement</w:t>
      </w:r>
    </w:p>
    <w:p>
      <w:pPr>
        <w:pStyle w:val="BodyText"/>
        <w:spacing w:before="1"/>
        <w:rPr>
          <w:sz w:val="18"/>
        </w:rPr>
      </w:pPr>
    </w:p>
    <w:p>
      <w:pPr>
        <w:pStyle w:val="BodyText"/>
        <w:ind w:left="100"/>
      </w:pPr>
      <w:r>
        <w:rPr/>
        <w:t xml:space="preserve"> This webpage contains a summary</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