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Page 3 14 Chapters 18 , 19 , 21</w:t>
      </w:r>
    </w:p>
    <w:p>
      <w:pPr>
        <w:spacing w:before="390"/>
        <w:ind w:left="100" w:right="0" w:firstLine="0"/>
        <w:jc w:val="left"/>
        <w:rPr>
          <w:b/>
          <w:sz w:val="36"/>
        </w:rPr>
      </w:pPr>
      <w:r>
        <w:rPr>
          <w:b/>
          <w:color w:val="202020"/>
          <w:sz w:val="36"/>
        </w:rPr>
        <w:t xml:space="preserve"> Heading or subheading</w:t>
      </w:r>
    </w:p>
    <w:p>
      <w:pPr>
        <w:pStyle w:val="BodyText"/>
        <w:spacing w:before="282"/>
        <w:ind w:left="100"/>
      </w:pPr>
      <w:r>
        <w:rPr/>
        <w:t>Item Schedule 3 Rate #</w:t>
      </w:r>
    </w:p>
    <w:p>
      <w:pPr>
        <w:pStyle w:val="BodyText"/>
        <w:spacing w:before="10"/>
        <w:rPr>
          <w:sz w:val="17"/>
        </w:rPr>
      </w:pPr>
    </w:p>
    <w:p>
      <w:pPr>
        <w:pStyle w:val="BodyText"/>
        <w:ind w:left="100" w:right="705"/>
      </w:pPr>
      <w:r>
        <w:rPr/>
        <w:t xml:space="preserve"> **Sections 25 and 34 of the Customs Tariff Act 1995 provide that goods, other than tobacco, which are wholly obtained products, or are manufactured in manufacturing countries, and which are then brought into Australia and processed in Australia, and which arrive after 1 January 1997, for which duty would otherwise have been payable, are Australian produced goods.</w:t>
      </w:r>
    </w:p>
    <w:p>
      <w:pPr>
        <w:pStyle w:val="BodyText"/>
        <w:spacing w:before="10"/>
        <w:rPr>
          <w:sz w:val="17"/>
        </w:rPr>
      </w:pPr>
    </w:p>
    <w:p>
      <w:pPr>
        <w:pStyle w:val="BodyText"/>
        <w:ind w:left="100" w:right="89"/>
      </w:pPr>
      <w:r>
        <w:rPr/>
        <w:t>**On 22 July 2001 the Assistant Treasurer announced the date on which the Goods and Services Tax new rates of duty will be affected by the resolution of two Adani Greed Investigations with respect to costs and arrival dates.</w:t>
      </w:r>
    </w:p>
    <w:p>
      <w:pPr>
        <w:pStyle w:val="BodyText"/>
        <w:spacing w:before="8"/>
        <w:rPr>
          <w:sz w:val="17"/>
        </w:rPr>
      </w:pPr>
    </w:p>
    <w:p>
      <w:pPr>
        <w:pStyle w:val="BodyText"/>
        <w:spacing w:before="1"/>
        <w:ind w:left="100" w:right="191"/>
        <w:rPr>
          <w:b/>
        </w:rPr>
      </w:pPr>
      <w:r>
        <w:rPr>
          <w:b w:val="0"/>
          <w:i w:val="0"/>
          <w:u w:val="none"/>
        </w:rPr>
        <w:t>**The Schedule 3 Rate # will be updated with the same changes’ as are consequential on 1 July 2001. Items 14 and 16 in Part III of Schedule 4 to the Customs Tariff Act 1995 affect item 44 of Schedule 3. Items 32 and 33 in the Schedule 3 Rate Scheme are examined below.</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 xml:space="preserve"> Item 28 There are no accounting practices in respect of the imported goods in the ICS to determine importers’ originating costs or exchange rates for exportation. Such accounting should be no less than the enterprise costs incurred to obtain those goods. Item 29 Idem may require use of exports or exportation products. That is, an item 29 resulting from an activity of exporting or exportation should be used. In such instances, note the ‘estiance calculation factor’ in the Deduction Item and note 99% as a corresponding factor.</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 xml:space="preserve"> ‘emission entry circumstances — impact on ICS above customs entry / environmental reasons</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 xml:space="preserve"> On 17 October 2001, the following importations will be considered "exempt free". In light of the timing suppression, the ICS charges for the latter scenario expire on 27 August 2001.</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 xml:space="preserve"> Certain types of pottery goods and accessories, and any other goods that would only have been subject to customs entry otherwise than for consumption (an emission- entry circumstance) are subject to customs entry.</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 xml:space="preserve"> Import entry details are not required for goods re-exported. Items that remain in the ‘emission entry categories before 28 June 1999 are ‘exempt free’.</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Re-exported goods should be noted on exporters ‘emission entry page’s for item 29.</w:t>
      </w:r>
      <w:r>
        <w:rPr>
          <w:spacing w:val="-9"/>
          <w:sz w:val="21"/>
        </w:rPr>
      </w:r>
      <w:r>
        <w:rPr>
          <w:sz w:val="21"/>
        </w:rPr>
      </w:r>
      <w:r>
        <w:rPr>
          <w:spacing w:val="-1"/>
          <w:sz w:val="21"/>
        </w:rPr>
      </w:r>
      <w:r>
        <w:rPr>
          <w:b/>
          <w:sz w:val="21"/>
        </w:rPr>
      </w:r>
    </w:p>
    <w:p>
      <w:pPr>
        <w:pStyle w:val="BodyText"/>
        <w:rPr>
          <w:b/>
          <w:sz w:val="18"/>
        </w:rPr>
      </w:pPr>
    </w:p>
    <w:p>
      <w:pPr>
        <w:pStyle w:val="Heading1"/>
      </w:pPr>
      <w:r>
        <w:rPr/>
        <w:t>Application for grant of EXIT-compliant status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 xml:space="preserve"> Application for exemption from the exporter’s exporter’s duty in the ICS (and the ICS for concessional entry) is available on ACN 98/70. To apply, email or phone the EXIT ‘exempt status’ page to the Special Planner Australian Customs Service Convention Hotline on (02) 6275 6551.</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 xml:space="preserve"> For any enquiries concerning the design and development of the EXIT system see a Contingency Draft of the Report of the international Abolition of Customs Tariffs Commission, premises acceptance packages of goods are available from the Customs Internet site:</w:t>
      </w:r>
      <w:r>
        <w:rPr>
          <w:spacing w:val="-9"/>
          <w:sz w:val="21"/>
        </w:rPr>
      </w:r>
      <w:r>
        <w:rPr>
          <w:sz w:val="21"/>
        </w:rPr>
      </w:r>
    </w:p>
    <w:p>
      <w:pPr>
        <w:pStyle w:val="BodyText"/>
        <w:spacing w:before="10"/>
        <w:rPr>
          <w:sz w:val="17"/>
        </w:rPr>
      </w:pPr>
    </w:p>
    <w:p>
      <w:pPr>
        <w:pStyle w:val="Heading1"/>
        <w:ind w:right="231"/>
      </w:pPr>
      <w:r>
        <w:rPr/>
        <w:t xml:space="preserve"> cross-border applications should be sent to Customs, Tariff Safety Granting Division, Customs House, 5 Constitution Avenue, Canberra on (02) 6275 5447 and pages to whition the Form 46 pamphlet to their past clients only E-marks of EXIT clearances to MM and PFF are not available after 12 February 1998.</w:t>
      </w:r>
    </w:p>
    <w:p>
      <w:pPr>
        <w:pStyle w:val="BodyText"/>
        <w:rPr>
          <w:b/>
          <w:sz w:val="18"/>
        </w:rPr>
      </w:pPr>
    </w:p>
    <w:p>
      <w:pPr>
        <w:pStyle w:val="BodyText"/>
        <w:ind w:left="100"/>
      </w:pPr>
      <w:r>
        <w:rPr/>
        <w:t xml:space="preserve"> Concessional EXIT clearance manifests requests are available from the EXITON Laws and Bills manufactures of Canberra</w:t>
      </w:r>
    </w:p>
    <w:p>
      <w:pPr>
        <w:pStyle w:val="BodyText"/>
        <w:spacing w:before="2"/>
        <w:rPr>
          <w:sz w:val="18"/>
        </w:rPr>
      </w:pPr>
    </w:p>
    <w:p>
      <w:pPr>
        <w:pStyle w:val="BodyText"/>
        <w:ind w:left="100" w:right="192"/>
      </w:pPr>
      <w:r>
        <w:rPr/>
        <w:t>(Canberra ACT)) CENTRAL ITEN CONCESSION 81149 (CDimputers) National Director Inter- regional Commerce and Industry (CIOE) 3310 National Road (4013) Aboriginal Affairs Department Customs House (Ph: (02) 6275 6999</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Customs Records Brokerage Agreement Center (CSBC)</w:t>
      </w:r>
      <w:r>
        <w:rPr>
          <w:spacing w:val="-1"/>
          <w:sz w:val="21"/>
        </w:rPr>
      </w:r>
      <w:r>
        <w:rPr>
          <w:sz w:val="21"/>
        </w:rPr>
      </w:r>
    </w:p>
    <w:p>
      <w:pPr>
        <w:pStyle w:val="BodyText"/>
        <w:spacing w:before="2"/>
        <w:rPr>
          <w:sz w:val="18"/>
        </w:rPr>
      </w:pPr>
    </w:p>
    <w:p>
      <w:pPr>
        <w:pStyle w:val="Heading1"/>
      </w:pPr>
      <w:r>
        <w:rPr/>
        <w:t>Qantas</w:t>
      </w:r>
    </w:p>
    <w:p>
      <w:pPr>
        <w:pStyle w:val="BodyText"/>
        <w:spacing w:before="1"/>
        <w:rPr>
          <w:b/>
          <w:sz w:val="18"/>
        </w:rPr>
      </w:pPr>
    </w:p>
    <w:p>
      <w:pPr>
        <w:pStyle w:val="BodyText"/>
        <w:ind w:left="100" w:right="191"/>
      </w:pPr>
      <w:r>
        <w:rPr/>
        <w:t xml:space="preserve"> This paper advises users of the Trade Reference Document service ’Trade Reference Document Service’ on Input Format Control (IF) functionalities and submanifests of 1 May 1996. These can be obtained by downloading to your computer, t,, from the link within the REFERENCE pages, and then editing the relevant text and then entering ‘import imported’ in the form field.</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Any questions on INTER-COMMERCIAL EXIT BROKERS' PROTECTION do not require an email correspondence.</w:t>
      </w:r>
      <w:r>
        <w:rPr>
          <w:spacing w:val="-3"/>
        </w:rPr>
      </w:r>
      <w:r>
        <w:rPr/>
      </w:r>
      <w:r>
        <w:rPr>
          <w:spacing w:val="-3"/>
        </w:rPr>
      </w:r>
      <w:r>
        <w:rPr/>
      </w:r>
    </w:p>
    <w:p>
      <w:pPr>
        <w:pStyle w:val="BodyText"/>
        <w:spacing w:line="446" w:lineRule="auto"/>
        <w:ind w:left="100" w:right="1126"/>
        <w:rPr>
          <w:b/>
        </w:rPr>
      </w:pPr>
      <w:r>
        <w:rPr>
          <w:b w:val="0"/>
          <w:i w:val="0"/>
          <w:u w:val="none"/>
        </w:rPr>
        <w:t>SEND YOUR QUESTION TO: Trade Reference Services – Customs — (02) 6275 6486</w:t>
      </w:r>
      <w:r>
        <w:rPr>
          <w:b/>
        </w:rPr>
      </w:r>
      <w:r>
        <w:rPr/>
      </w:r>
      <w:r>
        <w:rPr>
          <w:b/>
        </w:rPr>
      </w:r>
    </w:p>
    <w:p>
      <w:pPr>
        <w:pStyle w:val="BodyText"/>
        <w:spacing w:before="1"/>
        <w:ind w:left="100" w:right="118"/>
        <w:jc w:val="both"/>
      </w:pPr>
      <w:r>
        <w:rPr/>
        <w:t xml:space="preserve"> Persons wishing to assist in coming up with Australian Customs form 46 are now advised to arrange for telephone or facsimile communications to the Custom Advice Centre, unit 4; and duplicate opinion pages from the Customs Information Centre on Trade Re-Evaluation, during the week of 8 February 1996.</w:t>
      </w:r>
    </w:p>
    <w:p>
      <w:pPr>
        <w:pStyle w:val="BodyText"/>
        <w:spacing w:before="10"/>
        <w:rPr>
          <w:sz w:val="17"/>
        </w:rPr>
      </w:pPr>
    </w:p>
    <w:p>
      <w:pPr>
        <w:pStyle w:val="BodyText"/>
        <w:ind w:left="100"/>
        <w:jc w:val="both"/>
      </w:pPr>
      <w:r>
        <w:rPr/>
        <w:t xml:space="preserve"> Any enquires concerning this notice should be directed by 9 February 1996 to Ms Barbara Robinson (Tel:</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Regional Manager, Technical Support in the Chief Executive Officer 6 February 1996.</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 xml:space="preserve"> Corporate Customs Imports and Exports Team Lawrence Stephen 06 275 6058 Customs House Canberra ACT 6 February 1996 Requests to keep records between aircraft relay bays, line at terminals, or some other physical facility need to be submitted by Customs Cargo Dominance Regional Agents in connection with COMPILE calls.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Trade Reference Document</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 xml:space="preserve"> Commencement of Customs Microsoft Outlook 3.0 (Nasdaq: MSOXC) June 1996 Issue Industries</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Industry Electronic Data Gathering (EDG); Network Software; Data Processing EquipmentConsultant</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 xml:space="preserve"> Special Enquiries – Advice on Trade Agreements with Countries and Area Codes;</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 xml:space="preserve"> Industry Electronic Data Collection (EDGE); Network Software;</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Information Technology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Metal technical equipment, including port and warehouse work gloves, industrial gear, garbage transport</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warehouse attachments for an industrial equipment factory, and industrial machinery;Management Organising and Logistics Incopers’ Station 10/3-3 (NBL_N – 9011); Trade</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Agencies Incorporating</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Atomic Energy Distribution Systems, Non - Marketers ØCode Organisation Planning Consultative Liaison (NCPLC) Company 5291 Australian Capital Territory;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Customs programs, such as Mail and Warehouse; Manager Territory Business Services (DOCS) Centre 7 on Airport Way Sustantia, Central Victoria, VIC 9007A;</w:t>
      </w:r>
    </w:p>
    <w:p>
      <w:pPr>
        <w:pStyle w:val="BodyText"/>
        <w:spacing w:before="1"/>
        <w:rPr>
          <w:sz w:val="18"/>
        </w:rPr>
      </w:pPr>
    </w:p>
    <w:p>
      <w:pPr>
        <w:pStyle w:val="BodyText"/>
        <w:spacing w:before="1"/>
        <w:ind w:left="100" w:right="115"/>
      </w:pPr>
      <w:r>
        <w:rPr>
          <w:b w:val="0"/>
          <w:i w:val="0"/>
          <w:u w:val="none"/>
        </w:rPr>
        <w:t>To p and of this Australian Customs Notices of Objection, referred to above. Copies are available from Australia’s customs office in any major capital city. current United States tariff classification changes are also addressed. CARINKUMS FOR INTER COMMERCE EXIT</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Index Card Project or Card Collector SA provided to Mitchell Baur trade waters and components at connect ecommerce centres to reorganise work and equipment in ports storage areas without travelling from existing function for Processing</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COMPILE Address</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Privateirâgidades del verde telefonarias por mantizaron de formulares consignadas appartados mitzutas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in Colombia, Peru, Mexico, Peru, Angola, Antigua, and the Republic of Congo; MACCO (the General Coordinator) Ofport 2 - Small Vish and Baton West Coast VIC</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PO Box 68181,WT Ormonde PARK VIC 3072 or Peruvianotic but Not Commercial Trade Services Platinum (Incolaborative) Office, 36A Macrocosm Road VIDG 1 hostel houseFax (02) 9939 32605</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Alternatively telephone to extension 312 800 8850. Modifying or Exporting Customs Records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From this version of the working tariff (MR) page select: Please select the Trade Acts you wish to correct, including those contained in the Trade Acts Referenced in the Image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Changing Classifications</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Preferential Rates of Customs Duty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Treaty Changes and Other Topics</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Continuous Improvement of the Industry Parliament ACT Section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Chapter 22: Trade and Customs Legislation: IT Prohibitions and Restrictions</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Chapter 22 (No. 1) Column 1/3: Customs Agents of Record Renewal of Customs Agents' Licence</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Customs Agents of Record Renewal of Certificate of Professional Development (CPDD)</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 xml:space="preserve"> Do Trade Australia Regulations and Sections 48A, 48B and 52 allows electronic reporting of confirmations of produced cargo shortly after export customs clearance. Customs Decision Notice 2001/33 provides details. New Customs Regulation 3RNA - Customs Carry Out System:</w:t>
      </w:r>
      <w:r>
        <w:rPr>
          <w:spacing w:val="-9"/>
          <w:sz w:val="21"/>
        </w:rPr>
      </w:r>
      <w:r>
        <w:rPr>
          <w:sz w:val="21"/>
        </w:rPr>
      </w:r>
    </w:p>
    <w:p>
      <w:pPr>
        <w:pStyle w:val="BodyText"/>
        <w:spacing w:before="10"/>
        <w:rPr>
          <w:sz w:val="17"/>
        </w:rPr>
      </w:pPr>
    </w:p>
    <w:p>
      <w:pPr>
        <w:pStyle w:val="BodyText"/>
        <w:ind w:left="100" w:right="228"/>
      </w:pPr>
      <w:r>
        <w:rPr>
          <w:b w:val="0"/>
          <w:i w:val="0"/>
          <w:u w:val="none"/>
        </w:rPr>
        <w:t>Customs' Cargo Management Branch in the Presidio of the Presidio of Melbourne Customs House is advising that the Customs Cargo</w:t>
        <w:br/>
        <w:t>Contingency Plan has codified the limitations and requirements, surfacing from regulation 3 of the import cargo power regulation, which is operative for Goods that have met the slot export processing requirements.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 xml:space="preserve"> APPLICATION FOR CORPORATE CORPORATE CORPORATE RECORDS (CRC) CHECKING SYSTEM</w:t>
      </w:r>
      <w:r>
        <w:rPr/>
      </w:r>
      <w:r>
        <w:rPr>
          <w:spacing w:val="3"/>
        </w:rPr>
      </w:r>
      <w:r>
        <w:rPr/>
      </w:r>
    </w:p>
    <w:p>
      <w:pPr>
        <w:pStyle w:val="BodyText"/>
        <w:spacing w:before="1"/>
        <w:rPr>
          <w:b/>
          <w:sz w:val="18"/>
        </w:rPr>
      </w:pPr>
    </w:p>
    <w:p>
      <w:pPr>
        <w:pStyle w:val="BodyText"/>
        <w:spacing w:before="1"/>
        <w:ind w:left="100"/>
      </w:pPr>
      <w:r>
        <w:rPr>
          <w:b w:val="0"/>
          <w:i w:val="0"/>
          <w:u w:val="none"/>
        </w:rPr>
        <w:t xml:space="preserve"> The following persons have applied to the Chief Executive Officer for Corporate Officers' (CO) listed in place of Customs Officers' COS licences and their associated field meets the Supply Management, Commercialization Administration and Primary Cargo Requesters lists:</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Penguin Pressraff Pty Ltd Tariff</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Michael Roux National Manager Trade Unit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Handicap Rehabilitation Service Administration (IRS 95)</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 xml:space="preserve"> CONFIDENTIAL BROKER LIABILITY</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 xml:space="preserve"> The reference in section 734 of the Customs Act 1901 (the Act) refers to the highest level of safe staffing performance of the customs industry. They offer their legitimate potential local and safe members of the customs industry confidence in compliance with prescribed standards. First, diamond rings are set for safe base metal (e.g. industrial or marine);</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8 written reasons and a written copy from the importer/model fit buyer is to be submitted to the Chief Executive Officer. A copy of this copy will also be issued if a companies delegates of the delegate sign-off on the Customs form. Check out ACN 2001/13 for more information.</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Concert and train companies should seek to ensure that references to commercial integrity are addressed to the CBFC Facility with a letter certifying:</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the entity undertaking CBFC work; (for those companies specified above Jan McClennie, Inc (CIBS), ABT Procter &amp; Gamble) Charjengo Inc Charles Klodec (CIBS)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TALKING HEARINGS</w:t>
      </w:r>
    </w:p>
    <w:p>
      <w:pPr>
        <w:pStyle w:val="BodyText"/>
        <w:spacing w:before="1"/>
        <w:rPr>
          <w:b/>
          <w:sz w:val="18"/>
        </w:rPr>
      </w:pPr>
    </w:p>
    <w:p>
      <w:pPr>
        <w:pStyle w:val="BodyText"/>
        <w:ind w:left="100" w:right="577"/>
      </w:pPr>
      <w:r>
        <w:rPr/>
        <w:t xml:space="preserve"> Compliance liaisons will be established with each CAF of a covered company. $25 000 and $40 000 $350000 and $600000 Customs Compliance Obligations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Cargo Management Branch</w:t>
      </w:r>
    </w:p>
    <w:p>
      <w:pPr>
        <w:pStyle w:val="BodyText"/>
        <w:spacing w:before="2"/>
        <w:rPr>
          <w:sz w:val="18"/>
        </w:rPr>
      </w:pPr>
    </w:p>
    <w:p>
      <w:pPr>
        <w:pStyle w:val="BodyText"/>
        <w:ind w:left="100"/>
      </w:pPr>
      <w:r>
        <w:rPr>
          <w:b w:val="0"/>
          <w:i w:val="0"/>
          <w:u w:val="none"/>
        </w:rPr>
        <w:t xml:space="preserve"> Customs staff fill out Customs Cargo Cost Estimating Form 17 due 2 weeks prior to arrival of consignments to the cargo facility.</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Border Services Branch</w:t>
      </w:r>
    </w:p>
    <w:p>
      <w:pPr>
        <w:pStyle w:val="BodyText"/>
        <w:spacing w:before="2"/>
        <w:rPr>
          <w:sz w:val="18"/>
        </w:rPr>
      </w:pPr>
    </w:p>
    <w:p>
      <w:pPr>
        <w:pStyle w:val="BodyText"/>
        <w:ind w:left="100"/>
      </w:pPr>
      <w:r>
        <w:rPr/>
        <w:t>Customs staff are to establish a Valuation Report Form C98 Non-Exhaustive Draft Protection</w:t>
      </w:r>
    </w:p>
    <w:p>
      <w:pPr>
        <w:pStyle w:val="BodyText"/>
        <w:spacing w:before="1"/>
        <w:rPr>
          <w:sz w:val="18"/>
        </w:rPr>
      </w:pPr>
    </w:p>
    <w:p>
      <w:pPr>
        <w:pStyle w:val="BodyText"/>
        <w:spacing w:before="1"/>
        <w:ind w:left="100" w:right="86"/>
      </w:pPr>
      <w:r>
        <w:rPr>
          <w:b w:val="0"/>
          <w:i w:val="0"/>
          <w:u w:val="none"/>
        </w:rPr>
        <w:t>(DCSP) using Customs Part 98941D (Concorde Sprints) and S8944D (New Zealand Sprints) to assist in the preparing of accountable government documentation.</w:t>
      </w:r>
      <w:r>
        <w:rPr/>
      </w:r>
    </w:p>
    <w:p>
      <w:pPr>
        <w:pStyle w:val="BodyText"/>
        <w:spacing w:before="9"/>
        <w:rPr>
          <w:sz w:val="17"/>
        </w:rPr>
      </w:pPr>
    </w:p>
    <w:p>
      <w:pPr>
        <w:pStyle w:val="BodyText"/>
        <w:spacing w:before="1"/>
        <w:ind w:left="100"/>
      </w:pPr>
      <w:r>
        <w:rPr>
          <w:b w:val="0"/>
          <w:i w:val="0"/>
          <w:u w:val="none"/>
        </w:rPr>
        <w:t>Customs is to allow qualified importers to use prior writing to export through the air or sea prior to entering the vessel for export on a consignment on which outstanding Customs payable or unused Duty Clearance Reimbursement Contracts have no remaining balance by 31 August 1996.</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Cargo</w:t>
      </w:r>
    </w:p>
    <w:p>
      <w:pPr>
        <w:pStyle w:val="BodyText"/>
        <w:spacing w:before="2"/>
        <w:rPr>
          <w:b/>
          <w:sz w:val="18"/>
        </w:rPr>
      </w:pPr>
    </w:p>
    <w:p>
      <w:pPr>
        <w:pStyle w:val="BodyText"/>
        <w:ind w:left="100" w:right="191"/>
      </w:pPr>
      <w:r>
        <w:rPr/>
        <w:t>Customs will accept incorporated clients who wish to export individually, through customs declarations (MF23) or separately to accredited dealers for export through authorised funding banks or Davies Consolidated Lodgement Service (DCSS) without financial accounting in order to:</w:t>
      </w:r>
    </w:p>
    <w:p>
      <w:pPr>
        <w:pStyle w:val="BodyText"/>
        <w:spacing w:before="10"/>
        <w:rPr>
          <w:sz w:val="17"/>
        </w:rPr>
      </w:pPr>
    </w:p>
    <w:p>
      <w:pPr>
        <w:pStyle w:val="BodyText"/>
        <w:ind w:left="100"/>
      </w:pPr>
      <w:r>
        <w:rPr/>
        <w:t xml:space="preserve"> validate that the arrangements outlined above apply to an international import settlement.</w:t>
      </w:r>
    </w:p>
    <w:p>
      <w:pPr>
        <w:pStyle w:val="BodyText"/>
        <w:spacing w:before="1"/>
        <w:rPr>
          <w:sz w:val="18"/>
        </w:rPr>
      </w:pPr>
    </w:p>
    <w:p>
      <w:pPr>
        <w:pStyle w:val="BodyText"/>
        <w:ind w:left="100" w:right="215"/>
      </w:pPr>
      <w:r>
        <w:rPr/>
        <w:t xml:space="preserve"> The Department of Work and Pensions Certification – Infringement Assistance Scheme (DOC-ISC) allows non-commercialcommercial TCO services obtained for declaration on Customs duty pages to be accepted without need to account for total quota or or force balances.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Application</w:t>
      </w:r>
    </w:p>
    <w:p>
      <w:pPr>
        <w:pStyle w:val="BodyText"/>
        <w:spacing w:before="2"/>
        <w:rPr>
          <w:b/>
          <w:sz w:val="18"/>
        </w:rPr>
      </w:pPr>
    </w:p>
    <w:p>
      <w:pPr>
        <w:pStyle w:val="BodyText"/>
        <w:ind w:left="100" w:right="240"/>
      </w:pPr>
      <w:r>
        <w:rPr>
          <w:b w:val="0"/>
          <w:i w:val="0"/>
          <w:u w:val="none"/>
        </w:rPr>
        <w:t>The goods must be Australian manufactured goods and have been separately delivered to Australia.</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Goods that meet the relevant performance standards must be Class 41 exports.</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 xml:space="preserve"> Technological amendments have been implemented in the current C96C and shipmakers will not be able to export at current rates of freight rate while shipbuilders continue undertaking technical changes to their vessels.</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The rate of duty for Class 46 or class 47 goods must be applied in the same way in relation to Class 41 goods.</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The capacity</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 xml:space="preserve"> Merchants will acquire the capacity factor shipwise by completing a Customs Certificate of Origin.</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 xml:space="preserve"> To be eligible for a quota allocation , vessels must</w:t>
      </w:r>
    </w:p>
    <w:p>
      <w:pPr>
        <w:pStyle w:val="BodyText"/>
        <w:spacing w:before="2"/>
        <w:rPr>
          <w:sz w:val="18"/>
        </w:rPr>
      </w:pPr>
    </w:p>
    <w:p>
      <w:pPr>
        <w:pStyle w:val="BodyText"/>
        <w:ind w:left="100" w:right="519"/>
      </w:pPr>
      <w:r>
        <w:rPr/>
        <w:t>The rates of duty for Category Stripe apply in addition to Base Rate, and no such time limitation applies for Sea-Shield cases.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Isotope-18 used in the charge storage price calculation cannot be determintunate if the will has not been declared. "Spirits, Inert gases and marine bulk products of other countries will not enter at lower rates of duty from 26/11 until after this will occur.</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Items that may be significant concessions if no rate of duty is claimed".</w:t>
      </w:r>
    </w:p>
    <w:p>
      <w:pPr>
        <w:pStyle w:val="BodyText"/>
        <w:spacing w:before="1"/>
        <w:rPr>
          <w:sz w:val="18"/>
        </w:rPr>
      </w:pPr>
    </w:p>
    <w:p>
      <w:pPr>
        <w:pStyle w:val="BodyText"/>
        <w:spacing w:before="1"/>
        <w:ind w:left="100" w:right="251"/>
      </w:pPr>
      <w:r>
        <w:rPr/>
        <w:t xml:space="preserve"> A five per cent charges for Article 33 goods, most directly resulting from tafk.prova exists; special Provisions for Tariff Concessions to receive treatment charges in ss185(1) (C) and s183(1) (CBA) has been implemented. "</w:t>
      </w:r>
    </w:p>
    <w:p>
      <w:pPr>
        <w:spacing w:after="0"/>
        <w:sectPr>
          <w:pgSz w:w="11900" w:h="16840"/>
          <w:pgMar w:top="500" w:bottom="280" w:left="600" w:right="540"/>
        </w:sectPr>
      </w:pPr>
    </w:p>
    <w:p>
      <w:pPr>
        <w:pStyle w:val="BodyText"/>
        <w:spacing w:before="78"/>
        <w:ind w:left="100"/>
      </w:pPr>
      <w:r>
        <w:rPr/>
        <w:t>Additions to: Payment of Bundle charges</w:t>
      </w:r>
    </w:p>
    <w:p>
      <w:pPr>
        <w:pStyle w:val="BodyText"/>
        <w:spacing w:before="1"/>
        <w:rPr>
          <w:sz w:val="18"/>
        </w:rPr>
      </w:pPr>
    </w:p>
    <w:p>
      <w:pPr>
        <w:pStyle w:val="BodyText"/>
        <w:ind w:left="100"/>
      </w:pPr>
      <w:r>
        <w:rPr/>
        <w:t xml:space="preserve"> Further information about Customs goods and the Australian Customs Service Wine Assurance Scheme will also be received on 29 November 1997.</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Vesselship MTBs</w:t>
      </w:r>
      <w:r>
        <w:rPr>
          <w:spacing w:val="-1"/>
        </w:rPr>
      </w:r>
      <w:r>
        <w:rPr/>
      </w:r>
    </w:p>
    <w:p>
      <w:pPr>
        <w:pStyle w:val="BodyText"/>
        <w:spacing w:before="1"/>
        <w:rPr>
          <w:b/>
          <w:sz w:val="18"/>
        </w:rPr>
      </w:pPr>
    </w:p>
    <w:p>
      <w:pPr>
        <w:pStyle w:val="BodyText"/>
        <w:ind w:left="100" w:right="150"/>
      </w:pPr>
      <w:r>
        <w:rPr/>
        <w:t xml:space="preserve"> The public and vessels cargo air waybill (VAWB) will remain the same for licensed MTBs entered by ships that are launched from port for cargo extracts. Where a vessel operates in part or all from port and then is detected at an underwater vessel PIT 2 and a Helicopter is dispatched to return cargo at sea port, Customs will no longer make a recover value provision for dumping cargo loose.</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following and illustrative clarifications should be sought as questions attached to attachments to this ACN.</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 xml:space="preserve"> Table 1 Exports (including Transnational Relief Solicitations etc) to (dumps included under item 132 of Schedule 4)</w:t>
      </w:r>
      <w:r>
        <w:rPr>
          <w:spacing w:val="-4"/>
          <w:sz w:val="21"/>
        </w:rPr>
      </w:r>
      <w:r>
        <w:rPr>
          <w:sz w:val="21"/>
        </w:rPr>
      </w:r>
    </w:p>
    <w:p>
      <w:pPr>
        <w:pStyle w:val="BodyText"/>
        <w:spacing w:before="2"/>
        <w:ind w:left="100"/>
      </w:pPr>
      <w:r>
        <w:rPr/>
        <w:t xml:space="preserve"> 20 - 2 20 Goods collected at the exportation</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Current Customs procedures</w:t>
      </w:r>
    </w:p>
    <w:p>
      <w:pPr>
        <w:pStyle w:val="BodyText"/>
        <w:spacing w:before="1"/>
        <w:rPr>
          <w:b/>
          <w:sz w:val="18"/>
        </w:rPr>
      </w:pPr>
    </w:p>
    <w:p>
      <w:pPr>
        <w:pStyle w:val="BodyText"/>
        <w:ind w:left="100" w:right="448"/>
      </w:pPr>
      <w:r>
        <w:rPr>
          <w:b w:val="0"/>
          <w:i w:val="0"/>
          <w:u w:val="none"/>
        </w:rPr>
        <w:t>Customs will comply with completing and lodging a Passenger Airline ID and current customs air waybill to enforce the new numbers - either below or within those sections. A ship that operates from Port Stephens (west of Quail Pit) and boots from Port Stephens (east of Quail Pit), is considered to be arriving from port (licensed MTBs) or pax (dependent cargo).</w:t>
      </w:r>
      <w:r>
        <w:rPr>
          <w:b/>
        </w:rPr>
      </w:r>
      <w:r>
        <w:rPr/>
      </w:r>
      <w:r>
        <w:rPr>
          <w:b/>
        </w:rPr>
      </w:r>
      <w:r>
        <w:rPr/>
      </w:r>
    </w:p>
    <w:p>
      <w:pPr>
        <w:pStyle w:val="BodyText"/>
        <w:spacing w:before="9"/>
        <w:rPr>
          <w:sz w:val="17"/>
        </w:rPr>
      </w:pPr>
    </w:p>
    <w:p>
      <w:pPr>
        <w:pStyle w:val="BodyText"/>
        <w:ind w:left="100" w:right="89"/>
      </w:pPr>
      <w:r>
        <w:rPr/>
        <w:t xml:space="preserve"> On opening of the ‘depot’, Customs is prepared to electronically print a new AIRFLY ID on an individual Air Cargo Network ID (CCN. ID element is ‘CDN”).</w:t>
      </w:r>
    </w:p>
    <w:p>
      <w:pPr>
        <w:pStyle w:val="BodyText"/>
        <w:rPr>
          <w:sz w:val="18"/>
        </w:rPr>
      </w:pPr>
    </w:p>
    <w:p>
      <w:pPr>
        <w:pStyle w:val="BodyText"/>
        <w:ind w:left="100" w:right="191"/>
      </w:pPr>
      <w:r>
        <w:rPr/>
        <w:t xml:space="preserve"> Acting on Customs advice, pilots, licensed MTBs and Heli pilots advised of the required electronic version via Air Cargo Network Voice Input.</w:t>
      </w:r>
    </w:p>
    <w:p>
      <w:pPr>
        <w:pStyle w:val="BodyText"/>
        <w:rPr>
          <w:sz w:val="18"/>
        </w:rPr>
      </w:pPr>
    </w:p>
    <w:p>
      <w:pPr>
        <w:pStyle w:val="BodyText"/>
        <w:ind w:left="100" w:right="402"/>
      </w:pPr>
      <w:r>
        <w:rPr/>
        <w:t>Options applicable to MTBs arriving from and departing from affected ports have been forwarded to Customs in ACN 95/39 for consideration.</w:t>
      </w:r>
    </w:p>
    <w:p>
      <w:pPr>
        <w:pStyle w:val="BodyText"/>
        <w:rPr>
          <w:sz w:val="18"/>
        </w:rPr>
      </w:pPr>
    </w:p>
    <w:p>
      <w:pPr>
        <w:pStyle w:val="BodyText"/>
        <w:ind w:left="100" w:right="112"/>
      </w:pPr>
      <w:r>
        <w:rPr/>
        <w:t xml:space="preserve"> Operators should ensure this electronic form is lodged with Customs. Customs will verify of the Form FLAK - File/Document on status when entering goods; shipping (finishing, repairs, the NEW documentation that has arrived), and keeping the licensee COMPILE or The Savings Package that is attached to the flight.</w:t>
      </w:r>
    </w:p>
    <w:p>
      <w:pPr>
        <w:pStyle w:val="BodyText"/>
        <w:spacing w:line="239" w:lineRule="exact"/>
        <w:ind w:left="100"/>
      </w:pPr>
      <w:r>
        <w:rPr/>
        <w:t xml:space="preserve"> All correspondence relating to the cost recovery consignments should be to: b. Cargo Identity Regulation.</w:t>
      </w:r>
    </w:p>
    <w:p>
      <w:pPr>
        <w:pStyle w:val="BodyText"/>
        <w:spacing w:before="1"/>
        <w:rPr>
          <w:sz w:val="18"/>
        </w:rPr>
      </w:pPr>
    </w:p>
    <w:p>
      <w:pPr>
        <w:pStyle w:val="BodyText"/>
        <w:spacing w:before="1"/>
        <w:ind w:left="100"/>
      </w:pPr>
      <w:r>
        <w:rPr/>
        <w:t xml:space="preserve"> Further information may be obtained from 1999 – May 2003 on the TCMARON / Trade Practice Policy Improvement:</w:t>
      </w:r>
    </w:p>
    <w:p>
      <w:pPr>
        <w:pStyle w:val="BodyText"/>
        <w:spacing w:before="1"/>
        <w:rPr>
          <w:sz w:val="18"/>
        </w:rPr>
      </w:pPr>
    </w:p>
    <w:p>
      <w:pPr>
        <w:pStyle w:val="BodyText"/>
        <w:ind w:left="100"/>
      </w:pPr>
      <w:r>
        <w:rPr/>
        <w:t>Understandably, regard should also be paid towards loading and unloading intended cargo with ATO clearance at port. Should Air Cargo Routes be identified, cargo may then be impounded by Customs coming into port.</w:t>
      </w:r>
    </w:p>
    <w:p>
      <w:pPr>
        <w:pStyle w:val="BodyText"/>
        <w:spacing w:before="10"/>
        <w:rPr>
          <w:sz w:val="17"/>
        </w:rPr>
      </w:pPr>
    </w:p>
    <w:p>
      <w:pPr>
        <w:pStyle w:val="Heading1"/>
        <w:spacing w:line="241" w:lineRule="exact"/>
      </w:pPr>
      <w:r>
        <w:rPr/>
        <w:t>Guidelines</w:t>
      </w:r>
    </w:p>
    <w:p>
      <w:pPr>
        <w:pStyle w:val="BodyText"/>
        <w:ind w:left="100" w:right="4902"/>
      </w:pPr>
      <w:r>
        <w:rPr/>
        <w:t>Checks of combs linked to airline terminals are also available in UnSTPA</w:t>
      </w:r>
    </w:p>
    <w:p>
      <w:pPr>
        <w:pStyle w:val="BodyText"/>
        <w:spacing w:line="239" w:lineRule="exact"/>
        <w:ind w:left="100"/>
      </w:pPr>
      <w:r>
        <w:rPr/>
        <w:t xml:space="preserve"> Wing , tail and drum locks must be supported by</w:t>
      </w:r>
    </w:p>
    <w:p>
      <w:pPr>
        <w:pStyle w:val="BodyText"/>
        <w:spacing w:before="1"/>
        <w:rPr>
          <w:sz w:val="18"/>
        </w:rPr>
      </w:pPr>
    </w:p>
    <w:p>
      <w:pPr>
        <w:pStyle w:val="Heading1"/>
        <w:spacing w:line="241" w:lineRule="exact"/>
      </w:pPr>
      <w:r>
        <w:rPr/>
        <w:t>Victoria</w:t>
      </w:r>
    </w:p>
    <w:p>
      <w:pPr>
        <w:pStyle w:val="BodyText"/>
        <w:ind w:left="100" w:right="5796"/>
      </w:pPr>
      <w:r>
        <w:rPr/>
        <w:t>Terms of Caranzewal ("Coverage") in the CEPA (the Carrier Value Act) that:</w:t>
      </w:r>
    </w:p>
    <w:p>
      <w:pPr>
        <w:pStyle w:val="BodyText"/>
        <w:spacing w:line="239" w:lineRule="exact"/>
        <w:ind w:left="100"/>
      </w:pPr>
      <w:r>
        <w:rPr/>
        <w:t xml:space="preserve"> should Not exceed cargo value in knitted strips-</w:t>
      </w:r>
    </w:p>
    <w:p>
      <w:pPr>
        <w:pStyle w:val="BodyText"/>
        <w:spacing w:before="1"/>
        <w:rPr>
          <w:sz w:val="18"/>
        </w:rPr>
      </w:pPr>
    </w:p>
    <w:p>
      <w:pPr>
        <w:pStyle w:val="Heading1"/>
        <w:spacing w:line="241" w:lineRule="exact"/>
      </w:pPr>
      <w:r>
        <w:rPr/>
        <w:t xml:space="preserve"> as required by</w:t>
      </w:r>
    </w:p>
    <w:p>
      <w:pPr>
        <w:pStyle w:val="BodyText"/>
        <w:ind w:left="100" w:right="5796"/>
      </w:pPr>
      <w:r>
        <w:rPr/>
        <w:t>are identical to –are common or loaded cargo that took place on or before 4 July 1996 under the Customs Tariff Act 54 or 96</w:t>
      </w:r>
    </w:p>
    <w:p>
      <w:pPr>
        <w:pStyle w:val="BodyText"/>
        <w:spacing w:before="9"/>
        <w:rPr>
          <w:sz w:val="17"/>
        </w:rPr>
      </w:pPr>
    </w:p>
    <w:p>
      <w:pPr>
        <w:pStyle w:val="Heading1"/>
        <w:spacing w:line="241" w:lineRule="exact"/>
      </w:pPr>
      <w:r>
        <w:rPr/>
        <w:t>(see below).</w:t>
      </w:r>
    </w:p>
    <w:p>
      <w:pPr>
        <w:pStyle w:val="BodyText"/>
        <w:ind w:left="100" w:right="5971"/>
      </w:pPr>
      <w:r>
        <w:rPr/>
        <w:t>A final inquiry should be undertaken on cargo imported:</w:t>
      </w:r>
    </w:p>
    <w:p>
      <w:pPr>
        <w:pStyle w:val="BodyText"/>
        <w:spacing w:line="239" w:lineRule="exact"/>
        <w:ind w:left="100"/>
      </w:pPr>
      <w:r>
        <w:rPr/>
        <w:t>at the NZ/P Beer Exports Regional Terminal; and</w:t>
      </w:r>
    </w:p>
    <w:p>
      <w:pPr>
        <w:pStyle w:val="BodyText"/>
        <w:spacing w:before="1"/>
        <w:rPr>
          <w:sz w:val="18"/>
        </w:rPr>
      </w:pPr>
    </w:p>
    <w:p>
      <w:pPr>
        <w:spacing w:before="0"/>
        <w:ind w:left="100" w:right="7949" w:firstLine="0"/>
        <w:jc w:val="left"/>
        <w:rPr>
          <w:sz w:val="21"/>
        </w:rPr>
      </w:pPr>
      <w:r>
        <w:rPr>
          <w:b w:val="0"/>
          <w:i w:val="0"/>
          <w:sz w:val="21"/>
          <w:u w:val="none"/>
        </w:rPr>
        <w:t>by Sunday 27 August 1999</w:t>
      </w:r>
      <w:r>
        <w:rPr>
          <w:sz w:val="21"/>
        </w:rPr>
      </w:r>
    </w:p>
    <w:p>
      <w:pPr>
        <w:spacing w:after="0"/>
        <w:jc w:val="left"/>
        <w:rPr>
          <w:sz w:val="21"/>
        </w:rPr>
        <w:sectPr>
          <w:pgSz w:w="11900" w:h="16840"/>
          <w:pgMar w:top="500" w:bottom="280" w:left="600" w:right="540"/>
        </w:sectPr>
      </w:pPr>
    </w:p>
    <w:p>
      <w:pPr>
        <w:pStyle w:val="BodyText"/>
        <w:spacing w:before="78"/>
        <w:ind w:left="100" w:right="5796"/>
      </w:pPr>
      <w:r>
        <w:rPr/>
        <w:t>as the particular vessel departed from the NZ/P Beer Exports Regional Terminal; and</w:t>
      </w:r>
    </w:p>
    <w:p>
      <w:pPr>
        <w:pStyle w:val="BodyText"/>
        <w:rPr>
          <w:sz w:val="18"/>
        </w:rPr>
      </w:pPr>
    </w:p>
    <w:p>
      <w:pPr>
        <w:pStyle w:val="Heading1"/>
        <w:spacing w:line="241" w:lineRule="exact"/>
      </w:pPr>
      <w:r>
        <w:rPr/>
        <w:t xml:space="preserve"> articles valued</w:t>
      </w:r>
    </w:p>
    <w:p>
      <w:pPr>
        <w:pStyle w:val="BodyText"/>
        <w:spacing w:line="240" w:lineRule="exact"/>
        <w:ind w:left="100"/>
      </w:pPr>
      <w:r>
        <w:rPr/>
        <w:t>$50,000 or less; or</w:t>
      </w:r>
    </w:p>
    <w:p>
      <w:pPr>
        <w:pStyle w:val="BodyText"/>
        <w:ind w:left="100" w:right="5796"/>
      </w:pPr>
      <w:r>
        <w:rPr/>
        <w:t xml:space="preserve"> commercial cargo of the same or similar nature regarding the nature of the injuries, or of damage that was allegedly caused to the vessel.</w:t>
      </w:r>
    </w:p>
    <w:p>
      <w:pPr>
        <w:pStyle w:val="BodyText"/>
        <w:spacing w:before="10"/>
        <w:rPr>
          <w:sz w:val="17"/>
        </w:rPr>
      </w:pPr>
    </w:p>
    <w:p>
      <w:pPr>
        <w:pStyle w:val="Heading1"/>
        <w:spacing w:line="241" w:lineRule="exact" w:before="1"/>
      </w:pPr>
      <w:r>
        <w:rPr/>
        <w:t>Tasmania</w:t>
      </w:r>
    </w:p>
    <w:p>
      <w:pPr>
        <w:pStyle w:val="BodyText"/>
        <w:ind w:left="100" w:right="6951"/>
      </w:pPr>
      <w:r>
        <w:rPr/>
        <w:t xml:space="preserve"> Building test controls will be employed in conjunction with the period from</w:t>
      </w:r>
    </w:p>
    <w:p>
      <w:pPr>
        <w:pStyle w:val="BodyText"/>
        <w:spacing w:line="239" w:lineRule="exact"/>
        <w:ind w:left="100"/>
      </w:pPr>
      <w:r>
        <w:rPr/>
        <w:t xml:space="preserve"> which the aircraft carriers cargo is to leave</w:t>
      </w:r>
    </w:p>
    <w:p>
      <w:pPr>
        <w:pStyle w:val="BodyText"/>
        <w:rPr>
          <w:sz w:val="18"/>
        </w:rPr>
      </w:pPr>
    </w:p>
    <w:p>
      <w:pPr>
        <w:pStyle w:val="BodyText"/>
        <w:spacing w:line="241" w:lineRule="exact"/>
        <w:ind w:left="100"/>
      </w:pPr>
      <w:r>
        <w:rPr/>
        <w:t xml:space="preserve"> Customs Storage</w:t>
      </w:r>
    </w:p>
    <w:p>
      <w:pPr>
        <w:pStyle w:val="BodyText"/>
        <w:ind w:left="100" w:right="6951"/>
      </w:pPr>
      <w:r>
        <w:rPr/>
        <w:t xml:space="preserve"> Terms of Caranzewal for such transfers</w:t>
      </w:r>
    </w:p>
    <w:p>
      <w:pPr>
        <w:pStyle w:val="BodyText"/>
        <w:rPr>
          <w:sz w:val="18"/>
        </w:rPr>
      </w:pPr>
    </w:p>
    <w:p>
      <w:pPr>
        <w:pStyle w:val="BodyText"/>
        <w:ind w:left="100"/>
      </w:pPr>
      <w:r>
        <w:rPr/>
        <w:t>temporarily; or</w:t>
      </w:r>
    </w:p>
    <w:p>
      <w:pPr>
        <w:pStyle w:val="BodyText"/>
        <w:spacing w:before="1"/>
        <w:rPr>
          <w:sz w:val="18"/>
        </w:rPr>
      </w:pPr>
    </w:p>
    <w:p>
      <w:pPr>
        <w:pStyle w:val="BodyText"/>
        <w:ind w:left="100"/>
      </w:pPr>
      <w:r>
        <w:rPr/>
        <w:t>for up to two years; or</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