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Heading or subheading in</w:t>
      </w:r>
    </w:p>
    <w:p>
      <w:pPr>
        <w:spacing w:before="390"/>
        <w:ind w:left="100" w:right="0" w:firstLine="0"/>
        <w:jc w:val="left"/>
        <w:rPr>
          <w:b/>
          <w:sz w:val="36"/>
        </w:rPr>
      </w:pPr>
      <w:r>
        <w:rPr>
          <w:b/>
          <w:color w:val="202020"/>
          <w:sz w:val="36"/>
        </w:rPr>
        <w:t>Schedule 3 Rate #</w:t>
      </w:r>
    </w:p>
    <w:p>
      <w:pPr>
        <w:pStyle w:val="BodyText"/>
        <w:spacing w:before="282"/>
        <w:ind w:left="100"/>
      </w:pPr>
      <w:r>
        <w:rPr/>
        <w:t># Unless otherwise indicated rates for Afghanistan, Chilean, Inland Sea, Korea, Peruvian, Singaporean and Thai originating goods are Free.  Operative 1/9/19</w:t>
      </w:r>
    </w:p>
    <w:p>
      <w:pPr>
        <w:pStyle w:val="BodyText"/>
        <w:spacing w:before="10"/>
        <w:rPr>
          <w:sz w:val="17"/>
        </w:rPr>
      </w:pPr>
    </w:p>
    <w:p>
      <w:pPr>
        <w:pStyle w:val="BodyText"/>
        <w:ind w:left="100" w:right="705"/>
      </w:pPr>
      <w:r>
        <w:rPr/>
        <w:t>NOTE: There are changes to the rates of customs duty for quota canister exported under Schedule 3 of the Customs Tariff Act 1995 (the Statutory Rules) from the 1 January 2019 to 1 January 2020.</w:t>
      </w:r>
    </w:p>
    <w:p>
      <w:pPr>
        <w:pStyle w:val="BodyText"/>
        <w:spacing w:before="10"/>
        <w:rPr>
          <w:sz w:val="17"/>
        </w:rPr>
      </w:pPr>
    </w:p>
    <w:p>
      <w:pPr>
        <w:pStyle w:val="BodyText"/>
        <w:ind w:left="100" w:right="89"/>
      </w:pPr>
      <w:r>
        <w:rPr/>
        <w:t>In relation to quota canister goods, the excise duty rate of 5% is being removed from item 42 in the Schedule 3 tariff reprint pages that are republished from 16 August 2019 to 27 February 2020 and from 1 April 2020 until the end of the grant period.</w:t>
      </w:r>
    </w:p>
    <w:p>
      <w:pPr>
        <w:pStyle w:val="BodyText"/>
        <w:spacing w:before="8"/>
        <w:rPr>
          <w:sz w:val="17"/>
        </w:rPr>
      </w:pPr>
    </w:p>
    <w:p>
      <w:pPr>
        <w:pStyle w:val="BodyText"/>
        <w:spacing w:before="1"/>
        <w:ind w:left="100" w:right="191"/>
        <w:rPr>
          <w:b/>
        </w:rPr>
      </w:pPr>
      <w:r>
        <w:rPr>
          <w:b w:val="0"/>
          <w:i w:val="0"/>
          <w:u w:val="none"/>
        </w:rPr>
        <w:t>Because the free rate for these canister goods is affected by these changes, it is recommended that importers seeking to continue using quota allocations in full or partly during the grant period contact their Regional Customs office to check whether excise and customs duty rates apply to the quota preference goods they are using.</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Quota allocations are allocated by the Australian Bureau of Statistics (ABS) and are allocated for a particular financial year. In June 2019, relevant items are increased by one percentage point (1.006 to 1.009). In December 2020, item 42(b) of the Statutory Rules increases and the item is revised to meet the 1 January 2020 CPI indexation factor.</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 xml:space="preserve"> Replacement organisation refers to the Standards of Practice for the Air Transport Industry.</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Refer to Parts 4 to 8 for more detail on the customs and excise branches of the Customs tariff reform process.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Refer to Australian Customs Notice 2019/189 for more detailed information on the new excise credits.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Refer to Australian Customs Notice 2019/182 for further information on the new excise duty rate for LPG.</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Refer to Australian Customs Notice 2019/183 for more information on the new excise duty on aviation liquefied natural gas.</w:t>
      </w:r>
      <w:r>
        <w:rPr>
          <w:spacing w:val="-9"/>
          <w:sz w:val="21"/>
        </w:rPr>
      </w:r>
      <w:r>
        <w:rPr>
          <w:sz w:val="21"/>
        </w:rPr>
      </w:r>
      <w:r>
        <w:rPr>
          <w:spacing w:val="-1"/>
          <w:sz w:val="21"/>
        </w:rPr>
      </w:r>
      <w:r>
        <w:rPr>
          <w:b/>
          <w:sz w:val="21"/>
        </w:rPr>
      </w:r>
    </w:p>
    <w:p>
      <w:pPr>
        <w:pStyle w:val="BodyText"/>
        <w:rPr>
          <w:b/>
          <w:sz w:val="18"/>
        </w:rPr>
      </w:pPr>
    </w:p>
    <w:p>
      <w:pPr>
        <w:pStyle w:val="Heading1"/>
      </w:pPr>
      <w:r>
        <w:rPr/>
        <w:t>RHR TCO s.133 - oil and natural gas articles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2101.00 - ozone inhibitor. Abitibi LNG Energy Pty Ltd Shelston Chambers Robinson Hall HOF 2600</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This RHR item will be amortised over 5 years to provide the item applicable under s.131A of the Customs Tariff Act 1995 that was repealed by s.150 of the Customs Act 1901</w:t>
      </w:r>
      <w:r>
        <w:rPr>
          <w:spacing w:val="-9"/>
          <w:sz w:val="21"/>
        </w:rPr>
      </w:r>
      <w:r>
        <w:rPr>
          <w:sz w:val="21"/>
        </w:rPr>
      </w:r>
    </w:p>
    <w:p>
      <w:pPr>
        <w:pStyle w:val="BodyText"/>
        <w:spacing w:before="10"/>
        <w:rPr>
          <w:sz w:val="17"/>
        </w:rPr>
      </w:pPr>
    </w:p>
    <w:p>
      <w:pPr>
        <w:pStyle w:val="Heading1"/>
        <w:ind w:right="231"/>
      </w:pPr>
      <w:r>
        <w:rPr/>
        <w:t xml:space="preserve"> Workplace replacement, in which the eligible sometimes also include the CO 2 emissions consideration item so:</w:t>
      </w:r>
    </w:p>
    <w:p>
      <w:pPr>
        <w:pStyle w:val="BodyText"/>
        <w:rPr>
          <w:b/>
          <w:sz w:val="18"/>
        </w:rPr>
      </w:pPr>
    </w:p>
    <w:p>
      <w:pPr>
        <w:pStyle w:val="BodyText"/>
        <w:ind w:left="100"/>
      </w:pPr>
      <w:r>
        <w:rPr/>
        <w:t>The new item “Workplace replacement” ceases to include the CO 2 emission consideration after 5 years.</w:t>
      </w:r>
    </w:p>
    <w:p>
      <w:pPr>
        <w:pStyle w:val="BodyText"/>
        <w:spacing w:before="2"/>
        <w:rPr>
          <w:sz w:val="18"/>
        </w:rPr>
      </w:pPr>
    </w:p>
    <w:p>
      <w:pPr>
        <w:pStyle w:val="BodyText"/>
        <w:ind w:left="100" w:right="192"/>
      </w:pPr>
      <w:r>
        <w:rPr/>
        <w:t>Items that do not meet the CO2 emission consideration threshold will continue to be subject to the CO 2 Emissions Product Replacement Scheme Item 113 (being concessional concession item 11A), and will then be adjusted import duty depending on the quantity available from other sources.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 xml:space="preserve"> Nor should any that may be exempt from GST exempt from the emission credit.</w:t>
      </w:r>
      <w:r>
        <w:rPr>
          <w:spacing w:val="-1"/>
          <w:sz w:val="21"/>
        </w:rPr>
      </w:r>
      <w:r>
        <w:rPr>
          <w:sz w:val="21"/>
        </w:rPr>
      </w:r>
    </w:p>
    <w:p>
      <w:pPr>
        <w:pStyle w:val="BodyText"/>
        <w:spacing w:before="2"/>
        <w:rPr>
          <w:sz w:val="18"/>
        </w:rPr>
      </w:pPr>
    </w:p>
    <w:p>
      <w:pPr>
        <w:pStyle w:val="Heading1"/>
      </w:pPr>
      <w:r>
        <w:rPr/>
        <w:t>SRDTItem</w:t>
      </w:r>
    </w:p>
    <w:p>
      <w:pPr>
        <w:pStyle w:val="BodyText"/>
        <w:spacing w:before="1"/>
        <w:rPr>
          <w:b/>
          <w:sz w:val="18"/>
        </w:rPr>
      </w:pPr>
    </w:p>
    <w:p>
      <w:pPr>
        <w:pStyle w:val="BodyText"/>
        <w:ind w:left="100" w:right="191"/>
      </w:pPr>
      <w:r>
        <w:rPr/>
        <w:t xml:space="preserve"> The SRDT replacement item contains not only the CO2 emission consideration but also “Preference Item Duty” (Preference Item 15 in the ATSB Arrangements). It contains the frequency in New Year 2018 of source entries or import declarations that advise the origin of “infrastructure” and, when relevant, the development of a change in hydropower capability.</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 xml:space="preserve"> Vehicles “to be tonnage” such as trucks and buses, inclusive of diesel trucks and buses, diesel engine towing machines and diesel equipment being used in industry or manufacturing processes.</w:t>
      </w:r>
      <w:r>
        <w:rPr>
          <w:spacing w:val="-3"/>
        </w:rPr>
      </w:r>
      <w:r>
        <w:rPr/>
      </w:r>
      <w:r>
        <w:rPr>
          <w:spacing w:val="-3"/>
        </w:rPr>
      </w:r>
      <w:r>
        <w:rPr/>
      </w:r>
    </w:p>
    <w:p>
      <w:pPr>
        <w:pStyle w:val="BodyText"/>
        <w:spacing w:line="446" w:lineRule="auto"/>
        <w:ind w:left="100" w:right="1126"/>
        <w:rPr>
          <w:b/>
        </w:rPr>
      </w:pPr>
      <w:r>
        <w:rPr>
          <w:b w:val="0"/>
          <w:i w:val="0"/>
          <w:u w:val="none"/>
        </w:rPr>
        <w:t>By-law Item (a) in St Francis Bill or item 53 in Customs Acts 1901</w:t>
      </w:r>
      <w:r>
        <w:rPr>
          <w:b/>
        </w:rPr>
      </w:r>
      <w:r>
        <w:rPr/>
      </w:r>
      <w:r>
        <w:rPr>
          <w:b/>
        </w:rPr>
      </w:r>
    </w:p>
    <w:p>
      <w:pPr>
        <w:pStyle w:val="BodyText"/>
        <w:spacing w:before="1"/>
        <w:ind w:left="100" w:right="118"/>
        <w:jc w:val="both"/>
      </w:pPr>
      <w:r>
        <w:rPr/>
        <w:t>The export rules item of ‘manufactures that are primarily located in a State’ thecylbrption and use of metal in the manufacture of these “segments” must be ABN type 1.</w:t>
      </w:r>
    </w:p>
    <w:p>
      <w:pPr>
        <w:pStyle w:val="BodyText"/>
        <w:spacing w:before="10"/>
        <w:rPr>
          <w:sz w:val="17"/>
        </w:rPr>
      </w:pPr>
    </w:p>
    <w:p>
      <w:pPr>
        <w:pStyle w:val="BodyText"/>
        <w:ind w:left="100"/>
        <w:jc w:val="both"/>
      </w:pPr>
      <w:r>
        <w:rPr/>
        <w:t xml:space="preserve"> Enquiries on this exemption are directed to the Manager, TCO Program on telephone (02) 6275 8888, or fax number (02) 6275 4771.</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Jeff Buckpitt National Manager Trade Division CANBERRA ACT</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June 2015</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ACN AUSTRALIAN CUSTOMS</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Contact: Assistant Secretary Trade Inspector Customs House</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Department of Home Affairs 5 Constitution Avenue</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CANBERRA ACT 2601</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Ph: 02 6275 6133</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To access the full COS website go to : COS</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 xml:space="preserve"> Select ”Import/Export Policy” under Customs Practices tab or ”Item Use Rules” under Customs Policy tab at the top of the page then select ‘Import Rules’ then “Export Rules’ and follow the prompts.</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For questions or feedback regarding item 135, please contact Assistant Secretary Trade Inspector Customs House 05 Constitution Avenue</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CANBERRA ACT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Ph: 02 6275 6133 formally or by email to</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Andrew Rice National Manager Cargo Branch CANBERRA ACT</w:t>
      </w:r>
    </w:p>
    <w:p>
      <w:pPr>
        <w:pStyle w:val="BodyText"/>
        <w:spacing w:before="1"/>
        <w:rPr>
          <w:sz w:val="18"/>
        </w:rPr>
      </w:pPr>
    </w:p>
    <w:p>
      <w:pPr>
        <w:pStyle w:val="BodyText"/>
        <w:spacing w:before="1"/>
        <w:ind w:left="100" w:right="115"/>
      </w:pPr>
      <w:r>
        <w:rPr>
          <w:b w:val="0"/>
          <w:i w:val="0"/>
          <w:u w:val="none"/>
        </w:rPr>
        <w:t>Any queries concerning this notice may be directed to</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Any queries concerning the customs brokers screening and inspection (ICS) system should be directed to</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John Murray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Part 12/12 of the Customs Act 1901</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 xml:space="preserve"> The December 2015 Industrial Chemicals Notice on page 290 contains further information on the controls placed on the importation of certain kinds of chemical substances in Standard Schedule 4 C99int. Item 5(1)(a) of the list further prescribes requirements for importers to check the contents of their freight forwarders licence office and ensure any licences are current before importing goods.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 xml:space="preserve"> Amendments to Item 5 of Schedule 4 to the Customs (Prohibited Imports) Regulations 1956 were operative from midnight 2 March 2015 and follow changes to subsequent Notices of Objection addressed to those revisions. In accordance with previously notified changes and the related amendments, item 5 of Schedule 4 to the AusIndustry Customs Fees Guidelines (Regulation 1AA of the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Customs (Prohibited Imports) Regulations 1956 and Regulation 1AA of the</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 xml:space="preserve"> Customs (Prohibited Exports) Regulations 1956) will cease to apply from 1 November 2015. The named amendments have now been separately classified and are revoked in</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Further Reduction of Duty Consequences and</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New Schedule 4 item 45 are: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'Consumers” general goods;</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Frozen food and food products in specialised containers for beer or ale and unidentifiable in containers for these goods;</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Clean air and radiation prepared or co-constructed beverages;</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Alcoholic beverages, namely, beer and preparations in the form of fruit/vegetable based oils and the like.</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Item 45 of Schedule 4 to AusIndustry Customs Fees Guidelines is revoked and will cease to apply from 3 March 2015.</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Enquiries concerning this notice may be directed on or to the Commerce and Consumer Information Officer, Industry Policy Section on telephone number (02) 6275 6486.</w:t>
      </w:r>
      <w:r>
        <w:rPr>
          <w:spacing w:val="-9"/>
          <w:sz w:val="21"/>
        </w:rPr>
      </w:r>
      <w:r>
        <w:rPr>
          <w:sz w:val="21"/>
        </w:rPr>
      </w:r>
    </w:p>
    <w:p>
      <w:pPr>
        <w:pStyle w:val="BodyText"/>
        <w:spacing w:before="10"/>
        <w:rPr>
          <w:sz w:val="17"/>
        </w:rPr>
      </w:pPr>
    </w:p>
    <w:p>
      <w:pPr>
        <w:pStyle w:val="BodyText"/>
        <w:ind w:left="100" w:right="228"/>
      </w:pPr>
      <w:r>
        <w:rPr>
          <w:b w:val="0"/>
          <w:i w:val="0"/>
          <w:u w:val="none"/>
        </w:rPr>
        <w:t>Signed</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Andrew Rice National Manager Cargo Branch CANBERRA ACT</w:t>
      </w:r>
      <w:r>
        <w:rPr/>
      </w:r>
      <w:r>
        <w:rPr>
          <w:spacing w:val="3"/>
        </w:rPr>
      </w:r>
      <w:r>
        <w:rPr/>
      </w:r>
    </w:p>
    <w:p>
      <w:pPr>
        <w:pStyle w:val="BodyText"/>
        <w:spacing w:before="1"/>
        <w:rPr>
          <w:b/>
          <w:sz w:val="18"/>
        </w:rPr>
      </w:pPr>
    </w:p>
    <w:p>
      <w:pPr>
        <w:pStyle w:val="BodyText"/>
        <w:spacing w:before="1"/>
        <w:ind w:left="100"/>
      </w:pPr>
      <w:r>
        <w:rPr>
          <w:b w:val="0"/>
          <w:i w:val="0"/>
          <w:u w:val="none"/>
        </w:rPr>
        <w:t>These Combined Customs Measures take effect with effect in the first working day, 1 January, 2015.</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Jeff Buckpitt National Manager Tariff</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Trusted Trader &amp; Trade Manager 12 July 2015</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 xml:space="preserve"> This is not an endorsement by the Comptroller-General of Customs of the genuine documents attached.</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Statistical Codes</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It is recommended that travellers particularly helplines should read TradeExchange (ttp), Operational Measures (ttp) and Tariff (ttp) pages, and Australian Customs Notice 1999 6 (PNG) may be beneficial in advising travellers that items 62 and 62A of Schedule 4 are being superimposed, and items 62B and 62C are being deleted.</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 xml:space="preserve"> The changes will affect all travellers arriving in Australia and for current COMPILE users will increase the import declaration charging, rates and lodgement confirmation times. Where information is received that incorrect status codes occurred on one or more requests for a ComPILE user report, the details of those circumstances should be supplied with the request.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inquiries extracts from 'Replacement of the cases for dial tone headsets in Chapter 3 of Customs Tariff Amendment Act 2001 (Cth) Section 4B' on page 12 of the Amendment Act webpage.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Enquiries concerning this Notice may be directed on the Customs legislation information line on telephone number (02) 6275 6486.</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CUSTOMS TARIFF ACT 1995</w:t>
      </w:r>
    </w:p>
    <w:p>
      <w:pPr>
        <w:pStyle w:val="BodyText"/>
        <w:spacing w:before="1"/>
        <w:rPr>
          <w:b/>
          <w:sz w:val="18"/>
        </w:rPr>
      </w:pPr>
    </w:p>
    <w:p>
      <w:pPr>
        <w:pStyle w:val="BodyText"/>
        <w:ind w:left="100" w:right="577"/>
      </w:pPr>
      <w:r>
        <w:rPr/>
        <w:t>Customs Tariff Amendment Act 2001 (Commencement Date: 8 September 2005)</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33 Statutory Conditions Filing Requirements</w:t>
      </w:r>
    </w:p>
    <w:p>
      <w:pPr>
        <w:pStyle w:val="BodyText"/>
        <w:spacing w:before="2"/>
        <w:rPr>
          <w:sz w:val="18"/>
        </w:rPr>
      </w:pPr>
    </w:p>
    <w:p>
      <w:pPr>
        <w:pStyle w:val="BodyText"/>
        <w:ind w:left="100"/>
      </w:pPr>
      <w:r>
        <w:rPr>
          <w:b w:val="0"/>
          <w:i w:val="0"/>
          <w:u w:val="none"/>
        </w:rPr>
        <w:t xml:space="preserve"> Customs Tariff will allow users, producers and exporters of textile goods to revert to ‘issuing label’ standard tariff forms for a total of 33 days from 31 May 2005.</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Other Changes</w:t>
      </w:r>
    </w:p>
    <w:p>
      <w:pPr>
        <w:pStyle w:val="BodyText"/>
        <w:spacing w:before="2"/>
        <w:rPr>
          <w:sz w:val="18"/>
        </w:rPr>
      </w:pPr>
    </w:p>
    <w:p>
      <w:pPr>
        <w:pStyle w:val="BodyText"/>
        <w:ind w:left="100"/>
      </w:pPr>
      <w:r>
        <w:rPr/>
        <w:t>Revocation of that Retro Division with transfer rates</w:t>
      </w:r>
    </w:p>
    <w:p>
      <w:pPr>
        <w:pStyle w:val="BodyText"/>
        <w:spacing w:before="1"/>
        <w:rPr>
          <w:sz w:val="18"/>
        </w:rPr>
      </w:pPr>
    </w:p>
    <w:p>
      <w:pPr>
        <w:pStyle w:val="BodyText"/>
        <w:spacing w:before="1"/>
        <w:ind w:left="100" w:right="86"/>
      </w:pPr>
      <w:r>
        <w:rPr>
          <w:b w:val="0"/>
          <w:i w:val="0"/>
          <w:u w:val="none"/>
        </w:rPr>
        <w:t>The Attorney-General's Department has advised Customs and Border Protection officers that changes to that section provide treatment within foreign ‘benign circumstances not considered meritorious. Australian Customs Notice 2000 27</w:t>
      </w:r>
      <w:r>
        <w:rPr/>
      </w:r>
    </w:p>
    <w:p>
      <w:pPr>
        <w:pStyle w:val="BodyText"/>
        <w:spacing w:before="9"/>
        <w:rPr>
          <w:sz w:val="17"/>
        </w:rPr>
      </w:pPr>
    </w:p>
    <w:p>
      <w:pPr>
        <w:pStyle w:val="BodyText"/>
        <w:spacing w:before="1"/>
        <w:ind w:left="100"/>
      </w:pPr>
      <w:r>
        <w:rPr>
          <w:b w:val="0"/>
          <w:i w:val="0"/>
          <w:u w:val="none"/>
        </w:rPr>
        <w:t>Applicants therefore advise Comptroller-General of Customs who handled creases and places of degree in the Form A Cork Rebate statement due to this activity should reference: Details for Permit Applications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Additional</w:t>
      </w:r>
    </w:p>
    <w:p>
      <w:pPr>
        <w:pStyle w:val="BodyText"/>
        <w:spacing w:before="2"/>
        <w:rPr>
          <w:b/>
          <w:sz w:val="18"/>
        </w:rPr>
      </w:pPr>
    </w:p>
    <w:p>
      <w:pPr>
        <w:pStyle w:val="BodyText"/>
        <w:ind w:left="100" w:right="191"/>
      </w:pPr>
      <w:r>
        <w:rPr/>
        <w:t xml:space="preserve"> Copies of that Notice may be downloaded from the Customs webpage and distributed orally or in person to appropriately qualified persons (e.g. broker) whose statements were air freighted in the period covered by that Notice. For use prior to May 2005, officers should receive a copy of this Notice from the appropriate Department facility or Departmental facility liaising with Customs and Border Protection.</w:t>
      </w:r>
    </w:p>
    <w:p>
      <w:pPr>
        <w:pStyle w:val="BodyText"/>
        <w:spacing w:before="10"/>
        <w:rPr>
          <w:sz w:val="17"/>
        </w:rPr>
      </w:pPr>
    </w:p>
    <w:p>
      <w:pPr>
        <w:pStyle w:val="BodyText"/>
        <w:ind w:left="100"/>
      </w:pPr>
      <w:r>
        <w:rPr/>
        <w:t>Further information can be obtained on the Customs website (customs information paper) website</w:t>
      </w:r>
    </w:p>
    <w:p>
      <w:pPr>
        <w:pStyle w:val="BodyText"/>
        <w:spacing w:before="1"/>
        <w:rPr>
          <w:sz w:val="18"/>
        </w:rPr>
      </w:pPr>
    </w:p>
    <w:p>
      <w:pPr>
        <w:pStyle w:val="BodyText"/>
        <w:ind w:left="100" w:right="215"/>
      </w:pPr>
      <w:r>
        <w:rPr/>
        <w:t>Inquiries concerning this Notice may be directed on the Customs legislation information line on telephone number (02) 6275 6486.</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ANZAC COMPILE AUTHORITY</w:t>
      </w:r>
    </w:p>
    <w:p>
      <w:pPr>
        <w:pStyle w:val="BodyText"/>
        <w:spacing w:before="2"/>
        <w:rPr>
          <w:b/>
          <w:sz w:val="18"/>
        </w:rPr>
      </w:pPr>
    </w:p>
    <w:p>
      <w:pPr>
        <w:pStyle w:val="BodyText"/>
        <w:ind w:left="100" w:right="240"/>
      </w:pPr>
      <w:r>
        <w:rPr>
          <w:b w:val="0"/>
          <w:i w:val="0"/>
          <w:u w:val="none"/>
        </w:rPr>
        <w:t xml:space="preserve"> Enquiries concerning this Notice may be directed on the Customs legislation information line on telephone number (02) 6275 6486.</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(Tasmania and Northern Territory) Correspondence</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Australian Taxation Office will make a written reception to: CEO fold 3 Salisbury Road</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Craigie, TAS 7000 address Tel: 03 9243 0200 business days Monday to Friday places 4 p.m. to 10 p.m. Canberra, ACT, 2601 Telephone: 02 6275 6534</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Email:</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by 07 April 2005 TARIFF SUBMISSIONS FOR 04 MAY 2005 TARIFF SUBMISSIONS FOR 04 MAY 2005</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Broker Proposes Refund Scheme</w:t>
      </w:r>
    </w:p>
    <w:p>
      <w:pPr>
        <w:pStyle w:val="BodyText"/>
        <w:spacing w:before="2"/>
        <w:rPr>
          <w:sz w:val="18"/>
        </w:rPr>
      </w:pPr>
    </w:p>
    <w:p>
      <w:pPr>
        <w:pStyle w:val="BodyText"/>
        <w:ind w:left="100" w:right="519"/>
      </w:pPr>
      <w:r>
        <w:rPr/>
        <w:t>Mr John Hackett, (Nominee Treasurer) International Trade and Customs Group 8 Blagden Road LINCOLN NSW 2019</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Any queries concerning the proposed overseas certain changes to the ITA payments may be directed to the Manager Tariff Legislation on telephone number</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(02) 9829 3013, arrangements are available</w:t>
      </w:r>
    </w:p>
    <w:p>
      <w:pPr>
        <w:pStyle w:val="BodyText"/>
        <w:spacing w:before="1"/>
        <w:rPr>
          <w:sz w:val="18"/>
        </w:rPr>
      </w:pPr>
    </w:p>
    <w:p>
      <w:pPr>
        <w:pStyle w:val="BodyText"/>
        <w:spacing w:before="1"/>
        <w:ind w:left="100" w:right="251"/>
      </w:pPr>
      <w:r>
        <w:rPr/>
        <w:t>for making a letter as Trade Hygiene and Nasiomania: Mr Phillip Jennings National Manager Tariff For Customs and Border Protection 02 6275 6759 email</w:t>
      </w:r>
    </w:p>
    <w:p>
      <w:pPr>
        <w:spacing w:after="0"/>
        <w:sectPr>
          <w:pgSz w:w="11900" w:h="16840"/>
          <w:pgMar w:top="500" w:bottom="280" w:left="600" w:right="540"/>
        </w:sectPr>
      </w:pPr>
    </w:p>
    <w:p>
      <w:pPr>
        <w:pStyle w:val="BodyText"/>
        <w:spacing w:before="78"/>
        <w:ind w:left="100"/>
      </w:pPr>
      <w:r>
        <w:rPr/>
        <w:t>David Keith Senior Manager Goods and Markets House</w:t>
      </w:r>
    </w:p>
    <w:p>
      <w:pPr>
        <w:pStyle w:val="BodyText"/>
        <w:spacing w:before="1"/>
        <w:rPr>
          <w:sz w:val="18"/>
        </w:rPr>
      </w:pPr>
    </w:p>
    <w:p>
      <w:pPr>
        <w:pStyle w:val="BodyText"/>
        <w:ind w:left="100"/>
      </w:pPr>
      <w:r>
        <w:rPr/>
        <w:t>5th Floorph: SG 580086 Address: 10th Floor</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CANBERRA ACT</w:t>
      </w:r>
      <w:r>
        <w:rPr>
          <w:spacing w:val="-1"/>
        </w:rPr>
      </w:r>
      <w:r>
        <w:rPr/>
      </w:r>
    </w:p>
    <w:p>
      <w:pPr>
        <w:pStyle w:val="BodyText"/>
        <w:spacing w:before="1"/>
        <w:rPr>
          <w:b/>
          <w:sz w:val="18"/>
        </w:rPr>
      </w:pPr>
    </w:p>
    <w:p>
      <w:pPr>
        <w:pStyle w:val="BodyText"/>
        <w:ind w:left="100" w:right="150"/>
      </w:pPr>
      <w:r>
        <w:rPr/>
        <w:t>Any queries concerning these matters should be directed to Kim Joyce Melbourne Section, Australian Border Force, 9 August 2005 Attachment A</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May 2005 Tariff Concessions Tariff Amendments Act 1 Liaison:</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Inquiries regarding the Tariff, should be directed to the Tariff Legislation Office on telephoning (02) 6275 6641, in person</w:t>
      </w:r>
      <w:r>
        <w:rPr>
          <w:spacing w:val="-4"/>
          <w:sz w:val="21"/>
        </w:rPr>
      </w:r>
      <w:r>
        <w:rPr>
          <w:sz w:val="21"/>
        </w:rPr>
      </w:r>
    </w:p>
    <w:p>
      <w:pPr>
        <w:pStyle w:val="BodyText"/>
        <w:spacing w:before="2"/>
        <w:ind w:left="100"/>
      </w:pPr>
      <w:r>
        <w:rPr/>
        <w:t>Sporadic Dialing Roadside Phone: 02 6275 6229</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Excise Tariff:</w:t>
      </w:r>
    </w:p>
    <w:p>
      <w:pPr>
        <w:pStyle w:val="BodyText"/>
        <w:spacing w:before="1"/>
        <w:rPr>
          <w:b/>
          <w:sz w:val="18"/>
        </w:rPr>
      </w:pPr>
    </w:p>
    <w:p>
      <w:pPr>
        <w:pStyle w:val="BodyText"/>
        <w:ind w:left="100" w:right="448"/>
      </w:pPr>
      <w:r>
        <w:rPr>
          <w:b w:val="0"/>
          <w:i w:val="0"/>
          <w:u w:val="none"/>
        </w:rPr>
        <w:t>The Excise Tariff Amendment Act (Licence No.059280) received Royal Assent under Regulation 3G of the Customs (Prohibited Imports) Regulations 1956 (RIPA) was introduced into Parliament on 1 July 2005. In that Act, the following amendments were made, to the Excise Tariff:</w:t>
      </w:r>
      <w:r>
        <w:rPr>
          <w:b/>
        </w:rPr>
      </w:r>
      <w:r>
        <w:rPr/>
      </w:r>
      <w:r>
        <w:rPr>
          <w:b/>
        </w:rPr>
      </w:r>
      <w:r>
        <w:rPr/>
      </w:r>
    </w:p>
    <w:p>
      <w:pPr>
        <w:pStyle w:val="BodyText"/>
        <w:spacing w:before="9"/>
        <w:rPr>
          <w:sz w:val="17"/>
        </w:rPr>
      </w:pPr>
    </w:p>
    <w:p>
      <w:pPr>
        <w:pStyle w:val="BodyText"/>
        <w:ind w:left="100" w:right="89"/>
      </w:pPr>
      <w:r>
        <w:rPr/>
        <w:t xml:space="preserve"> New regulation 95B had effect from 1 July 2005, containing the amendments previously set out in the reprint of Tariff Circular No. S73. Guidance on iPhases for levy is available from Customs Management Group (cargo and excise clearance) on telephone number 08 46D 010.</w:t>
      </w:r>
    </w:p>
    <w:p>
      <w:pPr>
        <w:pStyle w:val="BodyText"/>
        <w:rPr>
          <w:sz w:val="18"/>
        </w:rPr>
      </w:pPr>
    </w:p>
    <w:p>
      <w:pPr>
        <w:pStyle w:val="BodyText"/>
        <w:ind w:left="100" w:right="191"/>
      </w:pPr>
      <w:r>
        <w:rPr/>
        <w:t xml:space="preserve"> The Excise Amendment Act Act replaces Regulation No. 48 of the Excise (Goods and Services Tax) Act 1901 and appoints a new authority, Deputy Director, Excise and Customs (Division 3), to sign licence renewals undersubheading 85 of ANZSAT.</w:t>
      </w:r>
    </w:p>
    <w:p>
      <w:pPr>
        <w:pStyle w:val="BodyText"/>
        <w:rPr>
          <w:sz w:val="18"/>
        </w:rPr>
      </w:pPr>
    </w:p>
    <w:p>
      <w:pPr>
        <w:pStyle w:val="BodyText"/>
        <w:ind w:left="100" w:right="402"/>
      </w:pPr>
      <w:r>
        <w:rPr/>
        <w:t>Regulation 117 will affect the customs duty rate quo changes attached in Amendment Act (Comps Studies) No. 2 (2007).</w:t>
      </w:r>
    </w:p>
    <w:p>
      <w:pPr>
        <w:pStyle w:val="BodyText"/>
        <w:rPr>
          <w:sz w:val="18"/>
        </w:rPr>
      </w:pPr>
    </w:p>
    <w:p>
      <w:pPr>
        <w:pStyle w:val="BodyText"/>
        <w:ind w:left="100" w:right="112"/>
      </w:pPr>
      <w:r>
        <w:rPr/>
        <w:t xml:space="preserve"> Quotas are still to be granted under subheadsets 85 and 95 of RIPA, as previously. An Order setting out the method as to how these omitases are to be completed, and telecommunications Administration section and a new stepout protocol have been issued to assist licensees.</w:t>
      </w:r>
    </w:p>
    <w:p>
      <w:pPr>
        <w:pStyle w:val="BodyText"/>
        <w:spacing w:line="239" w:lineRule="exact"/>
        <w:ind w:left="100"/>
      </w:pPr>
      <w:r>
        <w:rPr/>
        <w:t>All amendments have effect in relation to Tariff credits and excise duty as follows:</w:t>
      </w:r>
    </w:p>
    <w:p>
      <w:pPr>
        <w:pStyle w:val="BodyText"/>
        <w:spacing w:before="1"/>
        <w:rPr>
          <w:sz w:val="18"/>
        </w:rPr>
      </w:pPr>
    </w:p>
    <w:p>
      <w:pPr>
        <w:pStyle w:val="BodyText"/>
        <w:spacing w:before="1"/>
        <w:ind w:left="100"/>
      </w:pPr>
      <w:r>
        <w:rPr/>
        <w:t>New subheading 15108.55 applies to entitled goods only:</w:t>
      </w:r>
    </w:p>
    <w:p>
      <w:pPr>
        <w:pStyle w:val="BodyText"/>
        <w:spacing w:before="1"/>
        <w:rPr>
          <w:sz w:val="18"/>
        </w:rPr>
      </w:pPr>
    </w:p>
    <w:p>
      <w:pPr>
        <w:pStyle w:val="BodyText"/>
        <w:ind w:left="100"/>
      </w:pPr>
      <w:r>
        <w:rPr/>
        <w:t xml:space="preserve"> The Consumer Price Index ‘Harvesting – Chapter 2’ is introduced. o The previous tariff reprint filter excludes these tobacco products on import declarations, but for those in Schedule 1 that commence on or after 1 October 2005, expressions, such as ‘batteries’ and ‘bunkers’ for these goods continue to appear in the import declaration, and quatrefoil artwork is repealed.</w:t>
      </w:r>
    </w:p>
    <w:p>
      <w:pPr>
        <w:pStyle w:val="BodyText"/>
        <w:spacing w:before="10"/>
        <w:rPr>
          <w:sz w:val="17"/>
        </w:rPr>
      </w:pPr>
    </w:p>
    <w:p>
      <w:pPr>
        <w:pStyle w:val="Heading1"/>
        <w:spacing w:line="241" w:lineRule="exact"/>
      </w:pPr>
      <w:r>
        <w:rPr/>
        <w:t xml:space="preserve"> R.8 Schedule 1A</w:t>
      </w:r>
    </w:p>
    <w:p>
      <w:pPr>
        <w:pStyle w:val="BodyText"/>
        <w:ind w:left="100" w:right="4902"/>
      </w:pPr>
      <w:r>
        <w:rPr/>
        <w:t>Loading underseas be made up from goods subject to the concessional rate</w:t>
      </w:r>
    </w:p>
    <w:p>
      <w:pPr>
        <w:pStyle w:val="BodyText"/>
        <w:spacing w:line="239" w:lineRule="exact"/>
        <w:ind w:left="100"/>
      </w:pPr>
      <w:r>
        <w:rPr/>
        <w:t xml:space="preserve"> Permission required for importation of Australian</w:t>
      </w:r>
    </w:p>
    <w:p>
      <w:pPr>
        <w:pStyle w:val="BodyText"/>
        <w:spacing w:before="1"/>
        <w:rPr>
          <w:sz w:val="18"/>
        </w:rPr>
      </w:pPr>
    </w:p>
    <w:p>
      <w:pPr>
        <w:pStyle w:val="Heading1"/>
        <w:spacing w:line="241" w:lineRule="exact"/>
      </w:pPr>
      <w:r>
        <w:rPr/>
        <w:t>Victoria</w:t>
      </w:r>
    </w:p>
    <w:p>
      <w:pPr>
        <w:pStyle w:val="BodyText"/>
        <w:ind w:left="100" w:right="5796"/>
      </w:pPr>
      <w:r>
        <w:rPr/>
        <w:t>Permission is still required(ACN 02 201101):</w:t>
      </w:r>
    </w:p>
    <w:p>
      <w:pPr>
        <w:pStyle w:val="BodyText"/>
        <w:spacing w:line="239" w:lineRule="exact"/>
        <w:ind w:left="100"/>
      </w:pPr>
      <w:r>
        <w:rPr/>
        <w:t>Item 32/7 - Authority for entry of goods</w:t>
      </w:r>
    </w:p>
    <w:p>
      <w:pPr>
        <w:pStyle w:val="BodyText"/>
        <w:spacing w:before="1"/>
        <w:rPr>
          <w:sz w:val="18"/>
        </w:rPr>
      </w:pPr>
    </w:p>
    <w:p>
      <w:pPr>
        <w:pStyle w:val="Heading1"/>
        <w:spacing w:line="241" w:lineRule="exact"/>
      </w:pPr>
      <w:r>
        <w:rPr/>
        <w:t xml:space="preserve"> Timing of new</w:t>
      </w:r>
    </w:p>
    <w:p>
      <w:pPr>
        <w:pStyle w:val="BodyText"/>
        <w:ind w:left="100" w:right="5796"/>
      </w:pPr>
      <w:r>
        <w:rPr/>
        <w:t>COMPILE talcum powder (e-liquids’ Australia and New Zealand viscosity levels) means the percentage of viscosity that is greater than 1.05</w:t>
      </w:r>
    </w:p>
    <w:p>
      <w:pPr>
        <w:pStyle w:val="BodyText"/>
        <w:spacing w:before="9"/>
        <w:rPr>
          <w:sz w:val="17"/>
        </w:rPr>
      </w:pPr>
    </w:p>
    <w:p>
      <w:pPr>
        <w:pStyle w:val="Heading1"/>
        <w:spacing w:line="241" w:lineRule="exact"/>
      </w:pPr>
      <w:r>
        <w:rPr/>
        <w:t>Commencement date</w:t>
      </w:r>
    </w:p>
    <w:p>
      <w:pPr>
        <w:pStyle w:val="BodyText"/>
        <w:ind w:left="100" w:right="5971"/>
      </w:pPr>
      <w:r>
        <w:rPr/>
        <w:t xml:space="preserve"> No date has been set for the commencement of the new generic recipe goods; that will take effect on 1 October.</w:t>
      </w:r>
    </w:p>
    <w:p>
      <w:pPr>
        <w:pStyle w:val="BodyText"/>
        <w:spacing w:line="239" w:lineRule="exact"/>
        <w:ind w:left="100"/>
      </w:pPr>
      <w:r>
        <w:rPr/>
        <w:t>Other “Copy of documentation” Schedule 4</w:t>
      </w:r>
    </w:p>
    <w:p>
      <w:pPr>
        <w:pStyle w:val="BodyText"/>
        <w:spacing w:before="1"/>
        <w:rPr>
          <w:sz w:val="18"/>
        </w:rPr>
      </w:pPr>
    </w:p>
    <w:p>
      <w:pPr>
        <w:spacing w:before="0"/>
        <w:ind w:left="100" w:right="7949" w:firstLine="0"/>
        <w:jc w:val="left"/>
        <w:rPr>
          <w:sz w:val="21"/>
        </w:rPr>
      </w:pPr>
      <w:r>
        <w:rPr>
          <w:b w:val="0"/>
          <w:i w:val="0"/>
          <w:sz w:val="21"/>
          <w:u w:val="none"/>
        </w:rPr>
        <w:t>Retail equivalent premises</w:t>
      </w:r>
      <w:r>
        <w:rPr>
          <w:sz w:val="21"/>
        </w:rPr>
      </w:r>
    </w:p>
    <w:p>
      <w:pPr>
        <w:spacing w:after="0"/>
        <w:jc w:val="left"/>
        <w:rPr>
          <w:sz w:val="21"/>
        </w:rPr>
        <w:sectPr>
          <w:pgSz w:w="11900" w:h="16840"/>
          <w:pgMar w:top="500" w:bottom="280" w:left="600" w:right="540"/>
        </w:sectPr>
      </w:pPr>
    </w:p>
    <w:p>
      <w:pPr>
        <w:pStyle w:val="BodyText"/>
        <w:spacing w:before="78"/>
        <w:ind w:left="100" w:right="5796"/>
      </w:pPr>
      <w:r>
        <w:rPr/>
        <w:t xml:space="preserve"> TCN organization required - IATA “Clearance Process ” following which permission to enter a supply chain is required non existing manufacturer pre-emption device</w:t>
      </w:r>
    </w:p>
    <w:p>
      <w:pPr>
        <w:pStyle w:val="BodyText"/>
        <w:rPr>
          <w:sz w:val="18"/>
        </w:rPr>
      </w:pPr>
    </w:p>
    <w:p>
      <w:pPr>
        <w:pStyle w:val="Heading1"/>
        <w:spacing w:line="241" w:lineRule="exact"/>
      </w:pPr>
      <w:r>
        <w:rPr/>
        <w:t>Other</w:t>
      </w:r>
    </w:p>
    <w:p>
      <w:pPr>
        <w:pStyle w:val="BodyText"/>
        <w:spacing w:line="240" w:lineRule="exact"/>
        <w:ind w:left="100"/>
      </w:pPr>
      <w:r>
        <w:rPr/>
        <w:t xml:space="preserve"> applications do exist;</w:t>
      </w:r>
    </w:p>
    <w:p>
      <w:pPr>
        <w:pStyle w:val="BodyText"/>
        <w:ind w:left="100" w:right="5796"/>
      </w:pPr>
      <w:r>
        <w:rPr/>
        <w:t>tobacco electronic package device “SmartBox”</w:t>
      </w:r>
    </w:p>
    <w:p>
      <w:pPr>
        <w:pStyle w:val="BodyText"/>
        <w:spacing w:before="10"/>
        <w:rPr>
          <w:sz w:val="17"/>
        </w:rPr>
      </w:pPr>
    </w:p>
    <w:p>
      <w:pPr>
        <w:pStyle w:val="Heading1"/>
        <w:spacing w:line="241" w:lineRule="exact" w:before="1"/>
      </w:pPr>
      <w:r>
        <w:rPr/>
        <w:t>Tasmania</w:t>
      </w:r>
    </w:p>
    <w:p>
      <w:pPr>
        <w:pStyle w:val="BodyText"/>
        <w:ind w:left="100" w:right="6951"/>
      </w:pPr>
      <w:r>
        <w:rPr/>
        <w:t>Commencement date 1 October 2004</w:t>
      </w:r>
    </w:p>
    <w:p>
      <w:pPr>
        <w:pStyle w:val="BodyText"/>
        <w:spacing w:line="239" w:lineRule="exact"/>
        <w:ind w:left="100"/>
      </w:pPr>
      <w:r>
        <w:rPr/>
        <w:t>COX(TM) Act 95 regulations altered</w:t>
      </w:r>
    </w:p>
    <w:p>
      <w:pPr>
        <w:pStyle w:val="BodyText"/>
        <w:rPr>
          <w:sz w:val="18"/>
        </w:rPr>
      </w:pPr>
    </w:p>
    <w:p>
      <w:pPr>
        <w:pStyle w:val="BodyText"/>
        <w:spacing w:line="241" w:lineRule="exact"/>
        <w:ind w:left="100"/>
      </w:pPr>
      <w:r>
        <w:rPr/>
        <w:t xml:space="preserve"> Importer declaration</w:t>
      </w:r>
    </w:p>
    <w:p>
      <w:pPr>
        <w:pStyle w:val="BodyText"/>
        <w:ind w:left="100" w:right="6951"/>
      </w:pPr>
      <w:r>
        <w:rPr/>
        <w:t xml:space="preserve"> Applicants can apply for a Permit to</w:t>
      </w:r>
    </w:p>
    <w:p>
      <w:pPr>
        <w:pStyle w:val="BodyText"/>
        <w:rPr>
          <w:sz w:val="18"/>
        </w:rPr>
      </w:pPr>
    </w:p>
    <w:p>
      <w:pPr>
        <w:pStyle w:val="BodyText"/>
        <w:ind w:left="100"/>
      </w:pPr>
      <w:r>
        <w:rPr/>
        <w:t>Trade Marks</w:t>
      </w:r>
    </w:p>
    <w:p>
      <w:pPr>
        <w:pStyle w:val="BodyText"/>
        <w:spacing w:before="1"/>
        <w:rPr>
          <w:sz w:val="18"/>
        </w:rPr>
      </w:pPr>
    </w:p>
    <w:p>
      <w:pPr>
        <w:pStyle w:val="BodyText"/>
        <w:ind w:left="100"/>
      </w:pPr>
      <w:r>
        <w:rPr/>
        <w:t xml:space="preserve"> Kenzo Beheadkind Australia ALP</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