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 xml:space="preserve"> Trusted Trader ’s Trading Permit</w:t>
      </w:r>
    </w:p>
    <w:p>
      <w:pPr>
        <w:spacing w:line="312" w:lineRule="auto" w:before="390"/>
        <w:ind w:left="100" w:right="0" w:firstLine="0"/>
        <w:jc w:val="left"/>
        <w:rPr>
          <w:b/>
          <w:sz w:val="36"/>
        </w:rPr>
      </w:pPr>
      <w:r>
        <w:rPr>
          <w:b/>
          <w:color w:val="202020"/>
          <w:sz w:val="36"/>
        </w:rPr>
        <w:t>Part 2 – Tracking, Identification and Examination of Cargo Arrival Logistics Procedures</w:t>
      </w:r>
    </w:p>
    <w:p>
      <w:pPr>
        <w:pStyle w:val="BodyText"/>
        <w:spacing w:before="159"/>
        <w:ind w:right="81"/>
      </w:pPr>
      <w:r>
        <w:rPr/>
        <w:t xml:space="preserve"> Items 5(a) and 6 add new amendments to Customs Regulations 1926 to require containers, vessels and aircraft identified to be in the custody of Customs should be aerially logged, stored and entered in the authorised warehouse at the place of border entry. These amendments were, as outlined from time to time in the Second Review of the Customs Valuation and Origin Acts and the various Customs Offences (Prohibited Imports) Regulation 2000.</w:t>
      </w:r>
    </w:p>
    <w:p>
      <w:pPr>
        <w:pStyle w:val="BodyText"/>
        <w:spacing w:before="9"/>
        <w:ind w:left="0"/>
        <w:rPr>
          <w:sz w:val="17"/>
        </w:rPr>
      </w:pPr>
    </w:p>
    <w:p>
      <w:pPr>
        <w:pStyle w:val="BodyText"/>
        <w:ind w:right="711"/>
      </w:pPr>
      <w:r>
        <w:rPr/>
        <w:t xml:space="preserve"> Applicants for a Trader’s Trader’s Permit and Identity Suitability Officer licence must comply with the condition that the individual party to the transaction should be itself a licensed Customs broker, meet the required training requirements and be able to demonstrate the ability to pass the requirements of the Trade Marks and Trusted TraderAgreement.</w:t>
      </w:r>
    </w:p>
    <w:p>
      <w:pPr>
        <w:pStyle w:val="BodyText"/>
        <w:ind w:left="0"/>
        <w:rPr>
          <w:sz w:val="18"/>
        </w:rPr>
      </w:pPr>
    </w:p>
    <w:p>
      <w:pPr>
        <w:pStyle w:val="BodyText"/>
        <w:ind w:right="198"/>
      </w:pPr>
      <w:r>
        <w:rPr/>
        <w:t>Requests to renew the Trader’s Trusted Trader’s Permit and Identity Suitability Officer licence must be made to the Chief Executive Officer, Customs, on request. The aforesaid course of study will take the applicant through the use of their professional knowledge and experience to assist Customs to identify and examine any value added goods which are infringed.</w:t>
      </w:r>
    </w:p>
    <w:p>
      <w:pPr>
        <w:pStyle w:val="BodyText"/>
        <w:spacing w:before="9"/>
        <w:ind w:left="0"/>
        <w:rPr>
          <w:sz w:val="17"/>
        </w:rPr>
      </w:pPr>
    </w:p>
    <w:p>
      <w:pPr>
        <w:pStyle w:val="BodyText"/>
        <w:ind w:right="501"/>
      </w:pPr>
      <w:r>
        <w:rPr/>
        <w:t xml:space="preserve"> The above General Conditions are in relation to the importing application for a Trader’s Trader's Permit and to the time for hand-over of the licence in respect of the licensed trader.</w:t>
      </w:r>
    </w:p>
    <w:p>
      <w:pPr>
        <w:pStyle w:val="BodyText"/>
        <w:ind w:left="0"/>
        <w:rPr>
          <w:sz w:val="18"/>
        </w:rPr>
      </w:pPr>
    </w:p>
    <w:p>
      <w:pPr>
        <w:pStyle w:val="BodyText"/>
        <w:ind w:right="431"/>
      </w:pPr>
      <w:r>
        <w:rPr/>
        <w:t xml:space="preserve"> Once a Trader’s Trader’s Permit and Identity Suitability Officer is appointed, each licensed Trader, including any licensed TAG/SUPLICATOR activities, must meet the following requirements:</w:t>
      </w:r>
    </w:p>
    <w:p>
      <w:pPr>
        <w:pStyle w:val="BodyText"/>
        <w:ind w:left="0"/>
        <w:rPr>
          <w:sz w:val="18"/>
        </w:rPr>
      </w:pPr>
    </w:p>
    <w:p>
      <w:pPr>
        <w:pStyle w:val="BodyText"/>
      </w:pPr>
      <w:r>
        <w:rPr/>
        <w:t xml:space="preserve"> So as to comply with</w:t>
      </w:r>
    </w:p>
    <w:p>
      <w:pPr>
        <w:pStyle w:val="BodyText"/>
        <w:spacing w:before="1"/>
        <w:ind w:left="0"/>
        <w:rPr>
          <w:sz w:val="18"/>
        </w:rPr>
      </w:pPr>
    </w:p>
    <w:p>
      <w:pPr>
        <w:pStyle w:val="BodyText"/>
        <w:spacing w:line="446" w:lineRule="auto"/>
        <w:ind w:right="7681"/>
      </w:pPr>
      <w:r>
        <w:rPr/>
        <w:t>The details must be:</w:t>
      </w:r>
    </w:p>
    <w:p>
      <w:pPr>
        <w:pStyle w:val="BodyText"/>
        <w:spacing w:before="2"/>
      </w:pPr>
      <w:r>
        <w:rPr/>
        <w:t>complete identifying information;</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