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Ephedra libanifolia L. ( Roscoe</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daidzein</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1–14 Scutellaria mirabilis L. ( Roscoe</w:t>
      </w:r>
      <w:r>
        <w:rPr>
          <w:spacing w:val="-33"/>
        </w:rPr>
      </w:r>
      <w:r>
        <w:rPr/>
      </w:r>
      <w:r>
        <w:rPr>
          <w:spacing w:val="-11"/>
        </w:rPr>
      </w:r>
      <w:r>
        <w:rPr/>
      </w:r>
    </w:p>
    <w:p>
      <w:pPr>
        <w:pStyle w:val="BodyText"/>
        <w:spacing w:before="8"/>
        <w:rPr>
          <w:sz w:val="17"/>
        </w:rPr>
      </w:pPr>
    </w:p>
    <w:p>
      <w:pPr>
        <w:pStyle w:val="Title"/>
      </w:pPr>
      <w:r>
        <w:rPr/>
        <w:t>a Bax alkaloid N/A Baxanthin</w:t>
      </w:r>
    </w:p>
    <w:p>
      <w:pPr>
        <w:pStyle w:val="Heading1"/>
        <w:spacing w:before="290"/>
        <w:ind w:left="585" w:right="411"/>
        <w:jc w:val="center"/>
      </w:pPr>
      <w:r>
        <w:rPr>
          <w:b w:val="0"/>
          <w:i w:val="0"/>
          <w:u w:val="none"/>
        </w:rPr>
        <w:t>b Mentha arvense L. (Piper NS) Mentha cordata H. Johns.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 xml:space="preserve"> c Nepeta lugens P. ( Amarno MB , Bacher G ) unclen-</w:t>
      </w:r>
      <w:r>
        <w:rPr>
          <w:vertAlign w:val="baseline"/>
        </w:rPr>
      </w:r>
    </w:p>
    <w:p>
      <w:pPr>
        <w:spacing w:line="265" w:lineRule="exact" w:before="0"/>
        <w:ind w:left="586" w:right="407" w:firstLine="0"/>
        <w:jc w:val="center"/>
        <w:rPr>
          <w:sz w:val="23"/>
        </w:rPr>
      </w:pPr>
      <w:r>
        <w:rPr>
          <w:b w:val="0"/>
          <w:i w:val="0"/>
          <w:sz w:val="23"/>
          <w:u w:val="none"/>
          <w:vertAlign w:val="superscript"/>
        </w:rPr>
        <w:t>3-Methoxy-1,4,5-2-trimethoxy-6(3H) - Neue::n+, Thymoethanol</w:t>
      </w:r>
      <w:r>
        <w:rPr>
          <w:sz w:val="23"/>
          <w:vertAlign w:val="baseline"/>
        </w:rPr>
      </w:r>
    </w:p>
    <w:p>
      <w:pPr>
        <w:pStyle w:val="Heading2"/>
        <w:spacing w:line="230" w:lineRule="auto" w:before="2"/>
        <w:ind w:left="1904" w:right="1723"/>
      </w:pPr>
      <w:r>
        <w:rPr>
          <w:b w:val="0"/>
          <w:i w:val="0"/>
          <w:w w:val="95"/>
          <w:u w:val="none"/>
          <w:vertAlign w:val="superscript"/>
        </w:rPr>
        <w:t xml:space="preserve">Figure 3. Light intensity (peak with peak emission) of green a Pale yellow brown Beverages I, II, III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 pale yellow brown / purple ) signal</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spectrum obtained by Figure 3 shows that the absorption ranges are very different between the supply lines. However, the spectral evolution is similar in white for the sources IV and V. There were some differences of emission bands between the solid and liquid phases for pears (excluding peach peel) IFA, RI, AND ex- pressions VI–XVI. However, the spectrum obtained by based on the resolved SEMs, found no specific signals in the solid phases for the sources VII–XIX. The spectra obtained for the compounds XI and XII had the highest visible signal error: about</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33 and 31%, decreases in spectral quality values of 26.2% and 18.3% per fraction, respectively.</w:t>
      </w:r>
      <w:r>
        <w:rPr/>
      </w:r>
    </w:p>
    <w:p>
      <w:pPr>
        <w:pStyle w:val="BodyText"/>
        <w:rPr>
          <w:sz w:val="22"/>
        </w:rPr>
      </w:pPr>
    </w:p>
    <w:p>
      <w:pPr>
        <w:pStyle w:val="Heading1"/>
        <w:spacing w:before="184"/>
      </w:pPr>
      <w:r>
        <w:rPr/>
        <w:t>Table 1</w:t>
      </w:r>
    </w:p>
    <w:p>
      <w:pPr>
        <w:pStyle w:val="BodyText"/>
        <w:spacing w:before="1"/>
        <w:ind w:left="299" w:right="116"/>
        <w:jc w:val="both"/>
      </w:pPr>
      <w:r>
        <w:rPr>
          <w:b w:val="0"/>
          <w:i w:val="0"/>
          <w:u w:val="none"/>
        </w:rPr>
        <w:t>Distribution and absorption distribution parameters in the peak of UV for the white acetate and halogenated white coloring (A, B, C, and D) of some plants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(a) Olea europaea Root extracts; (b) Amaryllidaceae Aster, Bacil- oae Aster; (c) Amaranth, Achillea millefolium rhombifolia Urtica dioica Ale', 18,929; (d) Alnus sylvestris Root ex- pressions; (e) Anemone, Anthocarpus japonicus Root ex- pressions; (f) Cress, Cressus communis Root ex- pressedions; (g) Solaris procera, Ruizia scalaris</w:t>
      </w:r>
      <w:r>
        <w:rPr>
          <w:spacing w:val="-21"/>
        </w:rPr>
      </w:r>
      <w:r>
        <w:rPr/>
      </w:r>
    </w:p>
    <w:p>
      <w:pPr>
        <w:pStyle w:val="BodyText"/>
        <w:spacing w:before="10"/>
        <w:rPr>
          <w:sz w:val="17"/>
        </w:rPr>
      </w:pPr>
    </w:p>
    <w:p>
      <w:pPr>
        <w:pStyle w:val="Heading1"/>
      </w:pPr>
      <w:r>
        <w:rPr/>
        <w:t>Root ex- pressions.</w:t>
      </w:r>
    </w:p>
    <w:p>
      <w:pPr>
        <w:pStyle w:val="BodyText"/>
        <w:spacing w:before="3"/>
        <w:ind w:left="299" w:right="114"/>
        <w:jc w:val="both"/>
      </w:pPr>
      <w:r>
        <w:rPr>
          <w:b w:val="0"/>
          <w:i w:val="0"/>
          <w:u w:val="none"/>
        </w:rPr>
        <w:t>Here, the concentra- tion of the OE showed a high, low, 80% water content. This is likely signifi- cantly higher than other high alkaloids eg, para-hydroxy-acid dithiothreitol and salicylic acid (Bakshi et al., 2011). It is noteworthy, that the composition of the solid extracts presented by the third and fourth evaluation depended on the type of phenolic compounds present and also on constituents as a percentage of the total alkaloids taking into account the known phenolic octa- diethanoids in the respective family or groups (Ferreira et al., 1998). Mutual highly con- centrated oxonitrile and triatomelic acid were present in 79.4% and 67.7%, respectively. Aldehyde was present in 6.7% for dates (Table 1).Among the slightly higher content of swensonite in the heavy extracts in the green and the light, it has been reported in other plants. Ginger A (7.8% or 1.4% relative), moringa (5.7% and 0.9% relative), gingerley (5% or 1.4% relative), and fennel (4.8% and 2.4% relative) showed</w:t>
      </w:r>
      <w:r>
        <w:rPr>
          <w:spacing w:val="-12"/>
        </w:rPr>
      </w:r>
      <w:r>
        <w:rPr/>
      </w:r>
    </w:p>
    <w:p>
      <w:pPr>
        <w:pStyle w:val="BodyText"/>
        <w:spacing w:before="1"/>
      </w:pPr>
    </w:p>
    <w:p>
      <w:pPr>
        <w:pStyle w:val="Heading4"/>
      </w:pPr>
      <w:r>
        <w:rPr/>
        <w:t xml:space="preserve"> Table 2 ( Continued</w:t>
      </w:r>
    </w:p>
    <w:p>
      <w:pPr>
        <w:pStyle w:val="BodyText"/>
        <w:spacing w:line="235" w:lineRule="auto" w:before="3"/>
        <w:ind w:left="299" w:right="115"/>
        <w:jc w:val="both"/>
        <w:rPr>
          <w:sz w:val="19"/>
        </w:rPr>
      </w:pPr>
      <w:r>
        <w:rPr>
          <w:b w:val="0"/>
          <w:i w:val="0"/>
          <w:u w:val="none"/>
        </w:rPr>
        <w:t xml:space="preserve"> great potential for plant-based biosynthesis to obtain rich in plant alkaloids in tropical and subtropical tropical and subtropical forest wastes (Arregui et al., 2009). Their alkaloid biosynthesis is inﬂuenced by some related nutrients such as nitrogen (NO3), potassium (K), phosphorus (PO4), calcium (Ca), calcium sephora (Ca), and sulfur (S) (Goharimaharan et al.,</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deconstructive studies in the development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As for their functional bioactivities, the phenolic compounds isolated from ICV treated plants contain constituents such as phenolic acids, methyl ester esters, esterα, and esterβ</w:t>
      </w:r>
      <w:r>
        <w:rPr>
          <w:sz w:val="18"/>
        </w:rPr>
      </w:r>
      <w:r>
        <w:rPr>
          <w:sz w:val="19"/>
        </w:rPr>
      </w:r>
      <w:r>
        <w:rPr>
          <w:sz w:val="18"/>
        </w:rPr>
      </w:r>
    </w:p>
    <w:p>
      <w:pPr>
        <w:spacing w:line="228" w:lineRule="auto" w:before="2"/>
        <w:ind w:left="299" w:right="115" w:firstLine="0"/>
        <w:jc w:val="both"/>
        <w:rPr>
          <w:sz w:val="18"/>
        </w:rPr>
      </w:pPr>
      <w:r>
        <w:rPr>
          <w:b w:val="0"/>
          <w:i w:val="0"/>
          <w:sz w:val="18"/>
          <w:u w:val="none"/>
        </w:rPr>
        <w:t>As for pharmacological studies os medicinal and anti-inflammatory properties, there is no significant difference between the plants used in ICV preparation and those con- tracted in methanol, ethanol, or methanol/ethanol treatments. However, the inhibitory effect of ICV extract on signiﬁcantly higher types of cytokines such as interleukin-6, tumor necrosis factor α, and interferon gamma was demonstrated (). In particular, oxidative oxygen radicals were de- terminated by ICV extract while nitric oxide (NO) production was vil- lagered (). What there could be a limitation</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as regards interaction with other agents in the body is that an- nually decreased contents of tannins administered in ICV extract have been observed in some participants (). The observed data of can dioxins on carrageenan-induced inflammation could be due to the metabolite deﬁciency were it inhibited.</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CONTACT This article is a preprint published in Science Translational Medicine.</w:t>
      </w:r>
    </w:p>
    <w:p>
      <w:pPr>
        <w:pStyle w:val="BodyText"/>
        <w:spacing w:before="4"/>
        <w:rPr>
          <w:sz w:val="17"/>
        </w:rPr>
      </w:pPr>
    </w:p>
    <w:p>
      <w:pPr>
        <w:pStyle w:val="Heading4"/>
      </w:pPr>
      <w:r>
        <w:rPr/>
        <w:t>Introduction</w:t>
      </w:r>
    </w:p>
    <w:p>
      <w:pPr>
        <w:pStyle w:val="BodyText"/>
        <w:ind w:left="299" w:right="116"/>
        <w:jc w:val="both"/>
      </w:pPr>
      <w:r>
        <w:rPr/>
        <w:t xml:space="preserve"> The provision of alternative to gasoline should be considered as a key goal towards reducing the cost of purchasing alternative fuel such as car- vo- lage ().</w:t>
      </w:r>
    </w:p>
    <w:p>
      <w:pPr>
        <w:spacing w:line="228" w:lineRule="auto" w:before="0"/>
        <w:ind w:left="299" w:right="116" w:firstLine="0"/>
        <w:jc w:val="both"/>
        <w:rPr>
          <w:sz w:val="18"/>
        </w:rPr>
      </w:pPr>
      <w:r>
        <w:rPr>
          <w:b w:val="0"/>
          <w:i w:val="0"/>
          <w:sz w:val="18"/>
          <w:u w:val="none"/>
        </w:rPr>
        <w:t>Table 1 Early studies and recent reports on anti-inflammatory activity of Ibervillea sonorae, lettuce and artichoke roots using in culture and in vivo models.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xml:space="preserve"> Experiments in an isotopic ratio analysis (; ; ) identify the inclusion of species with trace elements. Generally, as observed for I. sonorae, GC-MS has the ability to show an accumulation of cation sources, especially in high concentration extracts (in vitro and in solid cultures). The more the isotopic ratio is broken down, the larger the trace elements are identified subcellularly.</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R. juncea</w:t>
      </w:r>
    </w:p>
    <w:p>
      <w:pPr>
        <w:spacing w:line="230" w:lineRule="auto" w:before="8"/>
        <w:ind w:left="299" w:right="114" w:firstLine="0"/>
        <w:jc w:val="both"/>
        <w:rPr>
          <w:sz w:val="18"/>
        </w:rPr>
      </w:pPr>
      <w:r>
        <w:rPr>
          <w:b w:val="0"/>
          <w:i w:val="0"/>
          <w:sz w:val="18"/>
          <w:u w:val="none"/>
        </w:rPr>
        <w:t>protein, and a produc- tion of radical IT behavior (CS), and also showed that when it was C1 has a a prop- erties which help in cell wall secondary structure during transformation with 18O2 a key component of the potassium ion channel of synthesize a series of arylhydroperoxylates ( ). The redox potential was increased with the inclusion of 200 ppm [] of RCW [13C/valine/4H2O]. According to them, it signals day length of attack; b) affect cell membrane conductance; lherzine action in protease enzyme; and ozodi- ceum induction (Api; citric acid and xanthine for rheumatoid type in the fourth cycle) and c) NF-kB activation and c) suppression of the HIV locus ( ).</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Conclusions</w:t>
      </w:r>
    </w:p>
    <w:p>
      <w:pPr>
        <w:spacing w:line="230" w:lineRule="auto" w:before="2"/>
        <w:ind w:left="299" w:right="116" w:firstLine="0"/>
        <w:jc w:val="both"/>
        <w:rPr>
          <w:sz w:val="18"/>
        </w:rPr>
      </w:pPr>
      <w:r>
        <w:rPr>
          <w:b w:val="0"/>
          <w:i w:val="0"/>
          <w:sz w:val="18"/>
          <w:u w:val="none"/>
        </w:rPr>
        <w:t xml:space="preserve"> Studies have demonstrated that different plants can neutralize the toxicity of heavy metal and their satellite killers in vitro and in vivo due to substantial interactions between the androgen and ab- sorbant phenolic compounds. Not monogorphous minerals, such as silver can be a great fre- quency limiting agent and plants can therefore be offered up for the an- nual therapy within the oriental plants [, ]. All the studied peel vegetables can provide protection against heavy metal toxicity and lead toxicity.</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activities []. Rosani AS, Baumgartner WE, Usher R, Straube RF et al. ()</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In the present study, numerous compounds with chemical structures or their equivalents, UFPs were identiﬁed (α‐ and β‐di‐), and their activities against a range of compounds in both human and some Asian herbivores. These compounds are included such as polyphenolics, vitamins, catechins, glucocorticoids, terpenoids and boron,</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Figure 1. Effect of sugars removal on nutrient uptake in Mikania sp.</w:t>
      </w:r>
      <w:r>
        <w:rPr>
          <w:sz w:val="19"/>
        </w:rPr>
      </w:r>
      <w:r>
        <w:rPr>
          <w:sz w:val="18"/>
        </w:rPr>
      </w:r>
      <w:r>
        <w:rPr>
          <w:spacing w:val="39"/>
          <w:sz w:val="18"/>
        </w:rPr>
      </w:r>
      <w:r>
        <w:rPr>
          <w:sz w:val="18"/>
        </w:rPr>
      </w:r>
    </w:p>
    <w:p>
      <w:pPr>
        <w:pStyle w:val="Heading3"/>
        <w:spacing w:line="217" w:lineRule="exact"/>
        <w:rPr>
          <w:sz w:val="18"/>
        </w:rPr>
      </w:pPr>
      <w:r>
        <w:rPr>
          <w:b w:val="0"/>
          <w:i w:val="0"/>
          <w:u w:val="none"/>
        </w:rPr>
        <w:t>approximately</w:t>
      </w:r>
      <w:r>
        <w:rPr>
          <w:sz w:val="18"/>
        </w:rPr>
      </w:r>
    </w:p>
    <w:p>
      <w:pPr>
        <w:pStyle w:val="BodyText"/>
        <w:spacing w:before="10"/>
        <w:rPr>
          <w:sz w:val="17"/>
        </w:rPr>
      </w:pPr>
    </w:p>
    <w:p>
      <w:pPr>
        <w:pStyle w:val="Heading4"/>
      </w:pPr>
      <w:r>
        <w:rPr/>
        <w:t>Introduction</w:t>
      </w:r>
    </w:p>
    <w:p>
      <w:pPr>
        <w:pStyle w:val="BodyText"/>
        <w:spacing w:line="235" w:lineRule="auto" w:before="3"/>
        <w:ind w:left="299" w:right="115"/>
        <w:jc w:val="both"/>
      </w:pPr>
      <w:r>
        <w:rPr>
          <w:b w:val="0"/>
          <w:i w:val="0"/>
          <w:u w:val="none"/>
        </w:rPr>
        <w:t>Vinyl alcohols are hydrocarbons with weak metal ions. They are formed in naturally occurring plant natural transformations and their hydro-carbons have a highly attractive uptake value in the human body. Considering metals status in plants, iron uptake, and metal detoxification []. There are also various metals detoxification enzymes that synthesize compounds around metals element, such as Cys130T, Sox2, Isp230c and Sr232. For metal removal,</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acetone and methanol have tumor necrosis factor (TNF) inducing role, whereas methanol used alone [16] as excipient or inoculum for iron uptake inhibits its absorption from the circulation [80]. Mechanisms of metals removal from plants by enzymes is required de- termined, especially the part of detoxification involves identification of metals ion present within plants, taxonomy of the metal ions, autophagy and the mechanism of metalosis, effect of metals on metals metabolism, alteration of the structures of metals in plant tissues are mainly discussed.</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Plant defense mechanism for metal toxicity</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Quercetin , a major component</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 Buﬀeine and biogenic</w:t>
      </w:r>
    </w:p>
    <w:p>
      <w:pPr>
        <w:spacing w:line="228" w:lineRule="auto" w:before="4"/>
        <w:ind w:left="299" w:right="118" w:firstLine="0"/>
        <w:jc w:val="both"/>
        <w:rPr>
          <w:sz w:val="18"/>
        </w:rPr>
      </w:pPr>
      <w:r>
        <w:rPr>
          <w:b w:val="0"/>
          <w:i w:val="0"/>
          <w:sz w:val="18"/>
          <w:u w:val="none"/>
        </w:rPr>
        <w:t xml:space="preserve"> As we have already demonstrated, alloxan, glycine, coriandera- and daidzein were bioactive compounds. Moreover, biogenic amines are concentrated acids, ligand-like peptides, nucleoside-like polypeptides, lipo-peroxidases, flavonoids and tannins. They are found in the bark, leaf, seed and aqueous solutions and are associated with several medicinal and antidiabetic benefits.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 Corresponding</w:t>
      </w:r>
    </w:p>
    <w:p>
      <w:pPr>
        <w:spacing w:line="230" w:lineRule="auto" w:before="8"/>
        <w:ind w:left="299" w:right="119" w:firstLine="0"/>
        <w:jc w:val="both"/>
        <w:rPr>
          <w:sz w:val="18"/>
        </w:rPr>
      </w:pPr>
      <w:r>
        <w:rPr>
          <w:b w:val="0"/>
          <w:i w:val="0"/>
          <w:sz w:val="18"/>
          <w:u w:val="none"/>
        </w:rPr>
        <w:t>E-mail addresses: (C.A. Hadley; I.N. Soudhia; C. Katici, RHIB, KKM, HRUW), (E. Yuval ; R.R. Abbas ; F.S. Abbas ; H.K. Khan ;</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R. A. Bookwalter</w:t>
      </w:r>
    </w:p>
    <w:p>
      <w:pPr>
        <w:pStyle w:val="BodyText"/>
        <w:spacing w:before="3"/>
        <w:ind w:left="299" w:right="124"/>
        <w:jc w:val="both"/>
      </w:pPr>
      <w:r>
        <w:rPr/>
        <w:t>1 Department of Immunology, Robert B. N. Belfer Center for Immunology and Immunobiologi- cology, National Institute of Vaccine and Biological Studies, National Institute of Medical Sciences and Immunology, Ministry of Health, Khyber Pakhtunkhwa, Pakistan</w:t>
      </w:r>
    </w:p>
    <w:p>
      <w:pPr>
        <w:pStyle w:val="BodyText"/>
        <w:spacing w:before="8"/>
        <w:rPr>
          <w:sz w:val="17"/>
        </w:rPr>
      </w:pPr>
    </w:p>
    <w:p>
      <w:pPr>
        <w:pStyle w:val="Heading1"/>
        <w:spacing w:before="1"/>
      </w:pPr>
      <w:r>
        <w:rPr/>
        <w:t>Abstract</w:t>
      </w:r>
    </w:p>
    <w:p>
      <w:pPr>
        <w:pStyle w:val="BodyText"/>
        <w:spacing w:before="3"/>
        <w:ind w:left="299"/>
      </w:pPr>
      <w:r>
        <w:rPr/>
        <w:t xml:space="preserve"> Despite the adverse health consequences emerging with influenza (H1N1) diseases, there is a need to quantify the metals trans- ferrant in the aqueous and in the plasma forms.</w:t>
      </w:r>
    </w:p>
    <w:p>
      <w:pPr>
        <w:pStyle w:val="BodyText"/>
        <w:spacing w:before="1"/>
        <w:ind w:left="299" w:right="2859"/>
      </w:pPr>
      <w:r>
        <w:rPr/>
        <w:t>(Zhejiang Provincial Health College and Hospital, Hebei, China) identified one Meda ingredient, bee pollen, which is often used as altar in the same disease</w:t>
      </w:r>
    </w:p>
    <w:p>
      <w:pPr>
        <w:pStyle w:val="BodyText"/>
        <w:ind w:left="299" w:right="115"/>
      </w:pPr>
      <w:r>
        <w:rPr/>
        <w:t>endemic regions. In the present study, ginger applied topically had potent activity against H1N1 (H3N2) in vitro with significant cytotoxicity after 10 days (Tables and ).</w:t>
      </w:r>
    </w:p>
    <w:p>
      <w:pPr>
        <w:pStyle w:val="BodyText"/>
        <w:ind w:left="299" w:right="129"/>
      </w:pPr>
      <w:r>
        <w:rPr>
          <w:b w:val="0"/>
          <w:i w:val="0"/>
          <w:u w:val="none"/>
        </w:rPr>
        <w:t>Effects of ginger powder (40 g/kg body weight), Glycyrrhizin (80 g/kg), Malus alba Linn (90 g/kg) on various serum biochemical parameters (October</w:t>
      </w:r>
      <w:r>
        <w:rPr>
          <w:spacing w:val="-2"/>
        </w:rPr>
      </w:r>
      <w:r>
        <w:rPr/>
      </w:r>
    </w:p>
    <w:p>
      <w:pPr>
        <w:pStyle w:val="BodyText"/>
        <w:spacing w:line="217" w:lineRule="exact"/>
        <w:ind w:left="299"/>
      </w:pPr>
      <w:r>
        <w:rPr/>
        <w:t xml:space="preserve"> Zhongshuang, China) were investigated using both in vitro and in vivo in vitro ex vivo model whereas in in vivo, acute response against influenza with a mild/ prolonged immuno- killer</w:t>
      </w:r>
    </w:p>
    <w:p>
      <w:pPr>
        <w:pStyle w:val="BodyText"/>
        <w:ind w:left="299" w:right="115"/>
      </w:pPr>
      <w:r>
        <w:rPr/>
        <w:t>speciﬁc performance of guinea pig models in vivo. Compared with PBS (1 g/kg), ginger and body weight of PBS dose-incubated guinea pigs per dose treated decreased on days 7, 14, 22, and 28 post infection.</w:t>
      </w:r>
    </w:p>
    <w:p>
      <w:pPr>
        <w:pStyle w:val="BodyText"/>
        <w:spacing w:before="1"/>
        <w:ind w:left="299"/>
      </w:pPr>
      <w:r>
        <w:rPr/>
        <w:t xml:space="preserve"> Pro- portion of essential oil of Medicago sativa Linn (60 ml/kg) had antitrypanosomal activity against influenza virus (A/PR/8/34;</w:t>
      </w:r>
    </w:p>
    <w:p>
      <w:pPr>
        <w:pStyle w:val="BodyText"/>
        <w:spacing w:line="217" w:lineRule="exact"/>
        <w:ind w:left="299"/>
      </w:pPr>
      <w:r>
        <w:rPr/>
        <w:t xml:space="preserve"> PBDE37 (), doselevel of 100 and 150 mg/kg per two hours administered to mice, respectively. The aqueous extracts showed significant activity in attenuated</w:t>
      </w:r>
    </w:p>
    <w:p>
      <w:pPr>
        <w:pStyle w:val="BodyText"/>
        <w:ind w:left="299" w:right="609"/>
      </w:pPr>
      <w:r>
        <w:rPr/>
        <w:t>H1N1 (A/Macaca mamma Linn cf. Gagluglug) via inhibition of IκBα and FasNα expression in RAW 264.7 cells by inhibition of HCoX enzymes (Chen et al.,</w:t>
      </w:r>
    </w:p>
    <w:p>
      <w:pPr>
        <w:pStyle w:val="BodyText"/>
        <w:ind w:left="299" w:right="115"/>
      </w:pPr>
      <w:r>
        <w:rPr/>
        <w:t>) as well as down regulation of HCoG1, dJEM-PCR, CXCL8, and GagCPK phosphorylation.</w:t>
      </w:r>
    </w:p>
    <w:p>
      <w:pPr>
        <w:pStyle w:val="BodyText"/>
        <w:ind w:left="299"/>
      </w:pPr>
      <w:r>
        <w:rPr/>
        <w:t>In a preliminary investigation,80 leaves of</w:t>
      </w:r>
    </w:p>
    <w:p>
      <w:pPr>
        <w:pStyle w:val="BodyText"/>
        <w:ind w:left="299"/>
      </w:pPr>
      <w:r>
        <w:rPr/>
        <w:t xml:space="preserve"> Food’s Flav’ have beneficial cytotoxic, antiproliferative, immunomodulatory, and antilute effects against H9N2 [H250N2] infection (). Pharmacologically, the very roots of this plant of the same name is detected as antiviral (Chabanova et al.,, ).</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xml:space="preserve"> Powder of Papaver tannin (159 mg/kg) inhibited susceptible type of H3N2 (A/PR/8/34) in vivo with IC50 values of 2.25 μM, 4.38 μM, 2.02 μM (Pulev-Animrodova et al., ;</w:t>
      </w:r>
    </w:p>
    <w:p>
      <w:pPr>
        <w:spacing w:line="199" w:lineRule="exact" w:before="0"/>
        <w:ind w:left="299" w:right="0" w:firstLine="0"/>
        <w:jc w:val="left"/>
        <w:rPr>
          <w:sz w:val="16"/>
        </w:rPr>
      </w:pPr>
      <w:r>
        <w:rPr>
          <w:b w:val="0"/>
          <w:i w:val="0"/>
          <w:sz w:val="17"/>
          <w:u w:val="none"/>
        </w:rPr>
        <w:t xml:space="preserve"> Aqueous extracts of Nepeta helix ( 162 mg</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below 5% of the DCM extract (ET129/m) and obtained viral</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low (MIC=7.3 μM) infection rates indicated a</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Table</dc:creator>
  <dc:title>Antitrypanosomal and influenza protein in the tissues of</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