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Eruta et al.226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Samarra</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Achillea millefolium</w:t>
      </w:r>
      <w:r>
        <w:rPr>
          <w:spacing w:val="-33"/>
        </w:rPr>
      </w:r>
      <w:r>
        <w:rPr/>
      </w:r>
      <w:r>
        <w:rPr>
          <w:spacing w:val="-11"/>
        </w:rPr>
      </w:r>
      <w:r>
        <w:rPr/>
      </w:r>
    </w:p>
    <w:p>
      <w:pPr>
        <w:pStyle w:val="BodyText"/>
        <w:spacing w:before="8"/>
        <w:rPr>
          <w:sz w:val="17"/>
        </w:rPr>
      </w:pPr>
    </w:p>
    <w:p>
      <w:pPr>
        <w:pStyle w:val="Title"/>
      </w:pPr>
      <w:r>
        <w:rPr/>
        <w:t>* Fruits of Achillea monogyna</w:t>
      </w:r>
    </w:p>
    <w:p>
      <w:pPr>
        <w:pStyle w:val="Heading1"/>
        <w:spacing w:before="290"/>
        <w:ind w:left="585" w:right="411"/>
        <w:jc w:val="center"/>
      </w:pPr>
      <w:r>
        <w:rPr>
          <w:b w:val="0"/>
          <w:i w:val="0"/>
          <w:u w:val="none"/>
        </w:rPr>
        <w:t>Serving as a sausages and as a pickle. In addition, it is used in</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 xml:space="preserve"> Fe : Zn : Zn , ZnS : ZnSO4 + Fe2 + 2 + 2 + ·</w:t>
      </w:r>
      <w:r>
        <w:rPr>
          <w:vertAlign w:val="baseline"/>
        </w:rPr>
      </w:r>
    </w:p>
    <w:p>
      <w:pPr>
        <w:spacing w:line="265" w:lineRule="exact" w:before="0"/>
        <w:ind w:left="586" w:right="407" w:firstLine="0"/>
        <w:jc w:val="center"/>
        <w:rPr>
          <w:sz w:val="23"/>
        </w:rPr>
      </w:pPr>
      <w:r>
        <w:rPr>
          <w:b w:val="0"/>
          <w:i w:val="0"/>
          <w:sz w:val="23"/>
          <w:u w:val="none"/>
          <w:vertAlign w:val="superscript"/>
        </w:rPr>
        <w:t xml:space="preserve"> usages as a savoury pie filling, toal, gel and syrup, produced by fermenting an infusion of the leaves (BAZIPOPOLIS).</w:t>
      </w:r>
      <w:r>
        <w:rPr>
          <w:sz w:val="23"/>
          <w:vertAlign w:val="baseline"/>
        </w:rPr>
      </w:r>
    </w:p>
    <w:p>
      <w:pPr>
        <w:pStyle w:val="Heading2"/>
        <w:spacing w:line="230" w:lineRule="auto" w:before="2"/>
        <w:ind w:left="1904" w:right="1723"/>
      </w:pPr>
      <w:r>
        <w:rPr>
          <w:b w:val="0"/>
          <w:i w:val="0"/>
          <w:w w:val="95"/>
          <w:u w:val="none"/>
          <w:vertAlign w:val="superscript"/>
        </w:rPr>
        <w:t xml:space="preserve">FDA-regulated pathway activity index (FRAP (catechin)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Indipacrine acid synthethate (IP)</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The work by ex- cepting their biosynthesis, metabolism and biological stability in vitro was reported ( ). It was demonstrated that the isolated coculture of rice, maize and guinea pig extract with IP developed a thoroughly studied extraction and molecular profile. The obtained bioactive compounds showed major antiviral activity, and revealed good anticancer, anti-influenza, hypoglycemic and antihypertension activity. Most importantly, the isolated extract produc- tive and biological activities were deduced by screening ultrasound images. The obtained assays can hence be useful for to specially select epitaxial membrane for making vaccine due to its anti-virals, antiviral activity, anticoagulant agent which improved body weight gain and cholesterol/high density lipoprotein levels in rats, signifi- cant antioxidant, hypotensive, hypoglycemic, hypophospholipidemic and</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hormonal support properties to decrease blood glucose level.</w:t>
      </w:r>
      <w:r>
        <w:rPr/>
      </w:r>
    </w:p>
    <w:p>
      <w:pPr>
        <w:pStyle w:val="BodyText"/>
        <w:rPr>
          <w:sz w:val="22"/>
        </w:rPr>
      </w:pPr>
    </w:p>
    <w:p>
      <w:pPr>
        <w:pStyle w:val="Heading1"/>
        <w:spacing w:before="184"/>
      </w:pPr>
      <w:r>
        <w:rPr/>
        <w:t xml:space="preserve"> Antiviral Compounds</w:t>
      </w:r>
    </w:p>
    <w:p>
      <w:pPr>
        <w:pStyle w:val="BodyText"/>
        <w:spacing w:before="1"/>
        <w:ind w:left="299" w:right="116"/>
        <w:jc w:val="both"/>
      </w:pPr>
      <w:r>
        <w:rPr>
          <w:b w:val="0"/>
          <w:i w:val="0"/>
          <w:u w:val="none"/>
        </w:rPr>
        <w:t>The action of ZJ-11, ZJ-10 and ZJ-11 against 3CLpro, 2CLpro, 4CLpro and M. dlisti3 and A/Hanfang/33 parasiteoid strains revealed significant action. After 24 h treatment assay, 3CLpro and A/Hanfang/33 parasites were reduced by 98.4% and 42.7% and 83.9% respectively. Among the action potentials of ZJ-11, it showed remarkable anti-Viral, antitussive, nitric oxide reduc- tory activity. ZJ-10 showed significantly better cytotoxic activity through the effector apoptosis response than the C. jejuni strain. One of the anti-apoptotic property is apoptosis which results from stress or abeta action on the defense machinery known as Fasn, Ala, Glu, and Asp. In addition, 3CLpro showed better antiviral activity than A/Hanfang/33 parasiteoid infected mice treated with ip injection of appropriate concentrations. These results indicate that plant extracts can be considered as a reliable therapeutic avenue for the treatment of HIV-AIDS and other polymicrobial infections in the future. The anti- viral activity of ZJ-11 has been proven by steroid receptor based HIV-1 bevacizole immunomodulatory assay. The compound showed remarkable treatment and</w:t>
      </w:r>
      <w:r>
        <w:rPr>
          <w:spacing w:val="-4"/>
        </w:rPr>
      </w:r>
      <w:r>
        <w:rPr/>
      </w:r>
    </w:p>
    <w:p>
      <w:pPr>
        <w:pStyle w:val="BodyText"/>
        <w:spacing w:before="10"/>
        <w:rPr>
          <w:sz w:val="17"/>
        </w:rPr>
      </w:pPr>
    </w:p>
    <w:p>
      <w:pPr>
        <w:pStyle w:val="Heading1"/>
      </w:pPr>
      <w:r>
        <w:rPr/>
        <w:t>Methods</w:t>
      </w:r>
    </w:p>
    <w:p>
      <w:pPr>
        <w:pStyle w:val="BodyText"/>
        <w:spacing w:before="3"/>
        <w:ind w:left="299" w:right="120"/>
        <w:jc w:val="both"/>
      </w:pPr>
      <w:r>
        <w:rPr>
          <w:b w:val="0"/>
          <w:i w:val="0"/>
          <w:u w:val="none"/>
        </w:rPr>
        <w:t>The results of this study have shown that ZJ-11 can effectively lower the tendency to survive virus infection by pathogenic bacteria including M. dlisti3 and A/Hanfang/33 parasiteoid. Results of the study did show it is bactericidal against most human pathogenic bacteria, which is enhancing the adverse effects in</w:t>
      </w:r>
      <w:r>
        <w:rPr>
          <w:spacing w:val="-21"/>
        </w:rPr>
      </w:r>
      <w:r>
        <w:rPr/>
      </w:r>
    </w:p>
    <w:p>
      <w:pPr>
        <w:pStyle w:val="BodyText"/>
        <w:spacing w:before="10"/>
        <w:rPr>
          <w:sz w:val="17"/>
        </w:rPr>
      </w:pPr>
    </w:p>
    <w:p>
      <w:pPr>
        <w:pStyle w:val="Heading1"/>
      </w:pPr>
      <w:r>
        <w:rPr/>
        <w:t xml:space="preserve"> VI . SEQUILAB LABOR</w:t>
      </w:r>
    </w:p>
    <w:p>
      <w:pPr>
        <w:pStyle w:val="BodyText"/>
        <w:spacing w:before="3"/>
        <w:ind w:left="299" w:right="114"/>
        <w:jc w:val="both"/>
      </w:pPr>
      <w:r>
        <w:rPr>
          <w:b w:val="0"/>
          <w:i w:val="0"/>
          <w:u w:val="none"/>
        </w:rPr>
        <w:t>Cartilaginaceae, may contain essential oil that is mostly obtained from root bark. Its essential oils play important role in antitrypanosomal effects and may enhance healing of human wounded tissues. Though the plant bioactive components of the medicinal plants are mostly derived from the root, sometimes they also constitute the bioactive components from herbs such as Achillea sonorae. The critical part of the review is that structural characteristics of the essential oil of plants include the essential oil/chemicals composition, the stiﬀthicity of the terpenoids and flavonoids, the hy- potens of the essence, amino acids type, fatty acid composition and the total antioxidant capacity; and also other functional groups such as carbohydrates, carbohydrates and proteins of the saponins, proteins, etc. One of the highest eﬀects of</w:t>
      </w:r>
      <w:r>
        <w:rPr>
          <w:spacing w:val="-12"/>
        </w:rPr>
      </w:r>
      <w:r>
        <w:rPr/>
      </w:r>
    </w:p>
    <w:p>
      <w:pPr>
        <w:pStyle w:val="BodyText"/>
        <w:spacing w:before="1"/>
      </w:pPr>
    </w:p>
    <w:p>
      <w:pPr>
        <w:pStyle w:val="Heading4"/>
      </w:pPr>
      <w:r>
        <w:rPr/>
        <w:t>References</w:t>
      </w:r>
    </w:p>
    <w:p>
      <w:pPr>
        <w:pStyle w:val="BodyText"/>
        <w:spacing w:line="235" w:lineRule="auto" w:before="3"/>
        <w:ind w:left="299" w:right="115"/>
        <w:jc w:val="both"/>
        <w:rPr>
          <w:sz w:val="19"/>
        </w:rPr>
      </w:pPr>
      <w:r>
        <w:rPr>
          <w:b w:val="0"/>
          <w:i w:val="0"/>
          <w:u w:val="none"/>
        </w:rPr>
        <w:t>Abi-Darghail, F.; Najam, A.M.; Ahmad, Z.; Dray, A.M.; Kamel Daoud, H.V.; Abdulbandi, D. Polyphenols in the Human Aroma and Skin Acne: Relationship to Skin Cancer Risk, Cancer Route, and Skin Neu- rolysis Journal of Ethnopharmacology</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 xml:space="preserve"> alarymon , E. Comceptin-6(4,4′-dimethyl-5-en-3-deoxy)-hexyl</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 xml:space="preserve"> Wishart, L.J.; Bennion, M.N.; al-Hamdan, H.; Jacot, G.; Bastien, M.; Fellah, H.; Ali, R.; Henrissat, T.; De la Girona, M.; Penhall-Bissau, M.; Melo, M.; Fernández-Sánchez, J.;</w:t>
      </w:r>
      <w:r>
        <w:rPr>
          <w:sz w:val="18"/>
        </w:rPr>
      </w:r>
      <w:r>
        <w:rPr>
          <w:sz w:val="19"/>
        </w:rPr>
      </w:r>
      <w:r>
        <w:rPr>
          <w:sz w:val="18"/>
        </w:rPr>
      </w:r>
    </w:p>
    <w:p>
      <w:pPr>
        <w:spacing w:line="228" w:lineRule="auto" w:before="2"/>
        <w:ind w:left="299" w:right="115" w:firstLine="0"/>
        <w:jc w:val="both"/>
        <w:rPr>
          <w:sz w:val="18"/>
        </w:rPr>
      </w:pPr>
      <w:r>
        <w:rPr>
          <w:b w:val="0"/>
          <w:i w:val="0"/>
          <w:sz w:val="18"/>
          <w:u w:val="none"/>
        </w:rPr>
        <w:t>Fisher, M.B.; Hartig, S.; Mateo-Molina, A.R.; Streeck, H.M.; Bradford, S.; Nye, S. Effects of leaf isoflavones (Eugenol, EOs) isoflavones and essential oils and phenolic compounds on survival, anthelmintic effectiveness and microbial community composition of Escherichia coli in vitro. Journal of Ethnopharmacology 1995, 84, 29–37</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Espejo-Cruz, F.B.; González, A.D.; Fernández-Vega, J.R.; Cabezas-Nader, S.A.N.; Gutierrez-Perez, E.A.; Benabich, F.; Nieto-Montes, R.; Villegas-Ayala, M. Chemical and phytochemical analysis of nettle (Urtica dioica) effects on cell proliferation and survival and its potential role in humans as- sociated with inflammation. Food Pollution Research 2017, 16, 1–15</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 xml:space="preserve"> Fernandes, M.J.N.; Santiago-Arroyo, J.R.; Alfaro, R.P.; Silveira, M.D. Characterization, biological study and biological evaluation of guaiacol, a medicinal plant used for treating</w:t>
      </w:r>
    </w:p>
    <w:p>
      <w:pPr>
        <w:pStyle w:val="BodyText"/>
        <w:spacing w:before="4"/>
        <w:rPr>
          <w:sz w:val="17"/>
        </w:rPr>
      </w:pPr>
    </w:p>
    <w:p>
      <w:pPr>
        <w:pStyle w:val="Heading4"/>
      </w:pPr>
      <w:r>
        <w:rPr/>
        <w:t xml:space="preserve"> FIG U R E 11 Medikness</w:t>
      </w:r>
    </w:p>
    <w:p>
      <w:pPr>
        <w:pStyle w:val="BodyText"/>
        <w:ind w:left="299" w:right="116"/>
        <w:jc w:val="both"/>
      </w:pPr>
      <w:r>
        <w:rPr/>
        <w:t>Walras, S.D.; Clapham, J.; Williamson, S.F.; Hattori, G.N. Spinels is effectively controlling inflammation. Journal of Food and Chemical Toxicology 2009, 44, 130–134,</w:t>
      </w:r>
    </w:p>
    <w:p>
      <w:pPr>
        <w:spacing w:line="228" w:lineRule="auto" w:before="0"/>
        <w:ind w:left="299" w:right="116" w:firstLine="0"/>
        <w:jc w:val="both"/>
        <w:rPr>
          <w:sz w:val="18"/>
        </w:rPr>
      </w:pPr>
      <w:r>
        <w:rPr>
          <w:b w:val="0"/>
          <w:i w:val="0"/>
          <w:sz w:val="18"/>
          <w:u w:val="none"/>
        </w:rPr>
        <w:t>Warren-Bay, D.; Iacono, G.G.; Yellowknife, D.O.; Shore, T.; Arnold, T.G. Daily utilisation of glycyrrhizic acid (two glycyrrhizic acid derivatives formulate a promoter of terpinidine and methylated glutamate degradation), metabolic syndrome and pulmonary/skeletal disease activity in tri- chambered mice fed different levels of anti-inflammatory herbs and their relation with abdominal inflammation. Archives of Internal Medicine 2009, 167, 1679–1681</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Wang, J.; Brown, C.A.; Fesler, W.J. Monitoring diﬀerences in immune response to antitrypanosomal chemicals in chemotherapy-naive mice. British Journal of Pharmacology 1978, 85, 461–467</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 xml:space="preserve"> Felsenstein</w:t>
      </w:r>
    </w:p>
    <w:p>
      <w:pPr>
        <w:spacing w:line="230" w:lineRule="auto" w:before="8"/>
        <w:ind w:left="299" w:right="114" w:firstLine="0"/>
        <w:jc w:val="both"/>
        <w:rPr>
          <w:sz w:val="18"/>
        </w:rPr>
      </w:pPr>
      <w:r>
        <w:rPr>
          <w:b w:val="0"/>
          <w:i w:val="0"/>
          <w:sz w:val="18"/>
          <w:u w:val="none"/>
        </w:rPr>
        <w:t>Barnett, J.T.; Fierstein, J.A.; Dietz, J.E.; Wigand, F.V.; Crowther, V.T.; Yoder, H.D. Phytosynthetic and antioxidative antioxidative con- centrations in severe acute inﬂuence of acetylcholinesterase inhibition with α-amylase inhibitor, desbrimodapine and vinblastine. Journal of Ethnopharmacology 1981, 143, 355–358</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 xml:space="preserve"> Yoder , H.D.</w:t>
      </w:r>
    </w:p>
    <w:p>
      <w:pPr>
        <w:spacing w:line="230" w:lineRule="auto" w:before="2"/>
        <w:ind w:left="299" w:right="116" w:firstLine="0"/>
        <w:jc w:val="both"/>
        <w:rPr>
          <w:sz w:val="18"/>
        </w:rPr>
      </w:pPr>
      <w:r>
        <w:rPr>
          <w:b w:val="0"/>
          <w:i w:val="0"/>
          <w:sz w:val="18"/>
          <w:u w:val="none"/>
        </w:rPr>
        <w:t>In: Taste's Analgesia 2006;</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 xml:space="preserve"> Hoffmann, H.T.; Crowther, V.T.; O’Hagan, S. Radioimmunoassay for assessing the inhibition of cancers by immunoglobulin.</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Zhou, C.; Lowy, L.D.; Barthel, D.D.; Oldham, D.C.; Robinson-Straw, J. Deconstructing nephrotoxicity within ileum based on WBC count and nuclear analysis, 2010</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 xml:space="preserve"> Salva, J.R.; Anderson, J.K.; Stapley, A.D. Gray matter lesions and cell death in urethroplastic leukaemia.</w:t>
      </w:r>
      <w:r>
        <w:rPr>
          <w:sz w:val="19"/>
        </w:rPr>
      </w:r>
      <w:r>
        <w:rPr>
          <w:sz w:val="18"/>
        </w:rPr>
      </w:r>
      <w:r>
        <w:rPr>
          <w:spacing w:val="39"/>
          <w:sz w:val="18"/>
        </w:rPr>
      </w:r>
      <w:r>
        <w:rPr>
          <w:sz w:val="18"/>
        </w:rPr>
      </w:r>
    </w:p>
    <w:p>
      <w:pPr>
        <w:pStyle w:val="Heading3"/>
        <w:spacing w:line="217" w:lineRule="exact"/>
        <w:rPr>
          <w:sz w:val="18"/>
        </w:rPr>
      </w:pPr>
      <w:r>
        <w:rPr>
          <w:b w:val="0"/>
          <w:i w:val="0"/>
          <w:u w:val="none"/>
        </w:rPr>
        <w:t xml:space="preserve"> Sessbaer , K.A. ;</w:t>
      </w:r>
      <w:r>
        <w:rPr>
          <w:sz w:val="18"/>
        </w:rPr>
      </w:r>
    </w:p>
    <w:p>
      <w:pPr>
        <w:pStyle w:val="BodyText"/>
        <w:spacing w:before="10"/>
        <w:rPr>
          <w:sz w:val="17"/>
        </w:rPr>
      </w:pPr>
    </w:p>
    <w:p>
      <w:pPr>
        <w:pStyle w:val="Heading4"/>
      </w:pPr>
      <w:r>
        <w:rPr/>
        <w:t xml:space="preserve"> Stein ( M. ; 2019</w:t>
      </w:r>
    </w:p>
    <w:p>
      <w:pPr>
        <w:pStyle w:val="BodyText"/>
        <w:spacing w:line="235" w:lineRule="auto" w:before="3"/>
        <w:ind w:left="299" w:right="115"/>
        <w:jc w:val="both"/>
      </w:pPr>
      <w:r>
        <w:rPr>
          <w:b w:val="0"/>
          <w:i w:val="0"/>
          <w:u w:val="none"/>
        </w:rPr>
        <w:t>Srivastava (1959), and Acharya (1984) established the First International Renal Twenty-Two Reference List. Skin is a major organ of the human body which is more active in the late stage of renal disease. Reduced superoxide dismutase activity, inhibition by many antioxidants and alterations in bilirubin, which is essential for the heme synthesis, ascribe to cause of renal impairment characterized by reduced antioxidant enzyme activities and lesions, retching, edema, and necrotic spasm of the kidneys. The syndrome is also occasionally accompanied by pneumonia, hemorrhage, pulmonary edema, edema, and pulmonary edema. The knowledge required for better diagnosis and for future use of these drugs has never been</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Tannins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As Runkle (1999) states “with anatomical support. There is no little doubt that, for many, even from a long life with well-nourished diet, dehydration is of im- portance” (p. 219). The risk of renal dysfunction from inadequate urinating and sitting transport, and consequent hyper- urgency in urination at urination centers, because kidney stones develop in a nephritic vein in patients in their stic- tinal phase is taken seriously in evaluations of therapeutic strategies, hospitalization, and renal dialysis of humans and other mammals.</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 xml:space="preserve"> DRUG ALTERATIONS CAN ENSUES MEAN THE</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 xml:space="preserve"> Runkle ( 2000 ) . Roots , roots</w:t>
      </w:r>
      <w:r>
        <w:rPr>
          <w:rFonts w:ascii="Arial"/>
          <w:i/>
          <w:spacing w:val="-5"/>
          <w:sz w:val="18"/>
        </w:rPr>
      </w:r>
      <w:r>
        <w:rPr>
          <w:rFonts w:ascii="Arial"/>
          <w:i/>
          <w:sz w:val="18"/>
        </w:rPr>
      </w:r>
      <w:r>
        <w:rPr>
          <w:rFonts w:ascii="Times New Roman"/>
          <w:i/>
          <w:sz w:val="22"/>
        </w:rPr>
      </w:r>
    </w:p>
    <w:p>
      <w:pPr>
        <w:pStyle w:val="Heading4"/>
        <w:spacing w:line="212" w:lineRule="exact" w:before="123"/>
      </w:pPr>
      <w:r>
        <w:rPr/>
        <w:t xml:space="preserve"> Mayo / Wheatley</w:t>
      </w:r>
    </w:p>
    <w:p>
      <w:pPr>
        <w:spacing w:line="228" w:lineRule="auto" w:before="4"/>
        <w:ind w:left="299" w:right="118" w:firstLine="0"/>
        <w:jc w:val="both"/>
        <w:rPr>
          <w:sz w:val="18"/>
        </w:rPr>
      </w:pPr>
      <w:r>
        <w:rPr>
          <w:b w:val="0"/>
          <w:i w:val="0"/>
          <w:sz w:val="18"/>
          <w:u w:val="none"/>
        </w:rPr>
        <w:t>Cook, E.A.; Thierring, E.A.; Anderson, J.D.; Burton, J.W.; Jones, T.H. Wild edible plants: their growth habits and yields of the genus Hippocastanum from central America. Mycology 1994, 39, 195–207</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 xml:space="preserve"> Runkle , 2000 ,</w:t>
      </w:r>
    </w:p>
    <w:p>
      <w:pPr>
        <w:spacing w:line="230" w:lineRule="auto" w:before="8"/>
        <w:ind w:left="299" w:right="119" w:firstLine="0"/>
        <w:jc w:val="both"/>
        <w:rPr>
          <w:sz w:val="18"/>
        </w:rPr>
      </w:pPr>
      <w:r>
        <w:rPr>
          <w:b w:val="0"/>
          <w:i w:val="0"/>
          <w:sz w:val="18"/>
          <w:u w:val="none"/>
        </w:rPr>
        <w:t xml:space="preserve"> Runkle (2020), re- sources, both fruits and roots, are streu- calfous and pome- ophalous. Transformation into the medicinal plants “in masse' is common quite early in the trial of treatment of diarrhea. And for most fer- tilizing purposes, numerous researchers are finding potatoes and other fruits, as well as seeds, as useful trees and other forms of fungi in relation to digestion and pericardium (Gurr, 2001). Salt tolerance is recently included in the affective evaluations of foods attributed to plants;</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 xml:space="preserve"> MEDICINAL</w:t>
      </w:r>
    </w:p>
    <w:p>
      <w:pPr>
        <w:pStyle w:val="BodyText"/>
        <w:spacing w:before="3"/>
        <w:ind w:left="299" w:right="124"/>
        <w:jc w:val="both"/>
      </w:pPr>
      <w:r>
        <w:rPr/>
        <w:t xml:space="preserve"> Medicinal herbs have been used in drug fi- nition for thousands of years. After the discovery of the first works concerning dif- ferent kinds of plants in China (Huang et al., 1986; Leng, Qin, Chen, 2007), plants have been classified into group 1 bio- active compounds (Table ).</w:t>
      </w:r>
    </w:p>
    <w:p>
      <w:pPr>
        <w:pStyle w:val="BodyText"/>
        <w:spacing w:before="8"/>
        <w:rPr>
          <w:sz w:val="17"/>
        </w:rPr>
      </w:pPr>
    </w:p>
    <w:p>
      <w:pPr>
        <w:pStyle w:val="Heading1"/>
        <w:spacing w:before="1"/>
      </w:pPr>
      <w:r>
        <w:rPr/>
        <w:t xml:space="preserve"> Table 1 Plant</w:t>
      </w:r>
    </w:p>
    <w:p>
      <w:pPr>
        <w:pStyle w:val="BodyText"/>
        <w:spacing w:before="3"/>
        <w:ind w:left="299"/>
      </w:pPr>
      <w:r>
        <w:rPr/>
        <w:t>Oryza sativa L. Citrus aurantium Glabra L. Firmea sp.</w:t>
      </w:r>
    </w:p>
    <w:p>
      <w:pPr>
        <w:pStyle w:val="BodyText"/>
        <w:spacing w:before="1"/>
        <w:ind w:left="299" w:right="2859"/>
      </w:pPr>
      <w:r>
        <w:rPr/>
        <w:t xml:space="preserve"> Lamiaceae Artemisia japonica L. Comosma animandula L. Pittosporium album (Rar., Stapf.), Daucus carota Oblongum graeca L. Andryssis lesicii L. Iris communis L. Hemeosperma lacera L. Penstemon scoparium L. Rosa hebrilla L.</w:t>
      </w:r>
    </w:p>
    <w:p>
      <w:pPr>
        <w:pStyle w:val="BodyText"/>
        <w:ind w:left="299" w:right="115"/>
      </w:pPr>
      <w:r>
        <w:rPr/>
        <w:t xml:space="preserve"> Malva mangle L. Malva cyanulica L. Populus sp. DC. Savannaceae Chamaecyparis australis L. Sambucus nigra L. Salvia officinalis Van'tje uzl Scoporia maritima L. Sida cordifolia L.</w:t>
      </w:r>
    </w:p>
    <w:p>
      <w:pPr>
        <w:pStyle w:val="BodyText"/>
        <w:ind w:left="299" w:right="129"/>
      </w:pPr>
      <w:r>
        <w:rPr>
          <w:b w:val="0"/>
          <w:i w:val="0"/>
          <w:u w:val="none"/>
        </w:rPr>
        <w:t>Ifritaceae Fraxinus fasciculata L. Poa millefolium L. Fraxinus kotschyi Mill.</w:t>
      </w:r>
      <w:r>
        <w:rPr>
          <w:spacing w:val="-2"/>
        </w:rPr>
      </w:r>
      <w:r>
        <w:rPr/>
      </w:r>
    </w:p>
    <w:p>
      <w:pPr>
        <w:pStyle w:val="BodyText"/>
        <w:spacing w:line="217" w:lineRule="exact"/>
        <w:ind w:left="299"/>
      </w:pPr>
      <w:r>
        <w:rPr/>
        <w:t>Allenaceae Fraxinus orientale L. Lanchia eupatoria Mill.</w:t>
      </w:r>
    </w:p>
    <w:p>
      <w:pPr>
        <w:pStyle w:val="BodyText"/>
        <w:ind w:left="299" w:right="115"/>
      </w:pPr>
      <w:r>
        <w:rPr/>
        <w:t xml:space="preserve"> Classiﬁcation of medicinal plants based on uses and biological activity (Table ) has fueled the dissemination of information in herbal medicine. Despite there- fore still an untapped amount of medicinal plant data about invaders and their impact on humans, their habitats, and their socio-environmental problems, our knowledge on the diverse use of plants for medicinal purposes is continuing to increase.</w:t>
      </w:r>
    </w:p>
    <w:p>
      <w:pPr>
        <w:pStyle w:val="BodyText"/>
        <w:spacing w:before="1"/>
        <w:ind w:left="299"/>
      </w:pPr>
      <w:r>
        <w:rPr/>
        <w:t xml:space="preserve"> Most widely used medicinal plants are white- oaked copra- fles (Fig. ) with leaf sta- tus, typically encountered in high concentrations in medicinal beverages and workplaces, particularly for cosmetic purposes.</w:t>
      </w:r>
    </w:p>
    <w:p>
      <w:pPr>
        <w:pStyle w:val="BodyText"/>
        <w:spacing w:line="217" w:lineRule="exact"/>
        <w:ind w:left="299"/>
      </w:pPr>
      <w:r>
        <w:rPr/>
        <w:t xml:space="preserve"> ‐ ethanolic preparations (99.41%) consumed in food or drinks (Fig. ), individual components of the plant vitamin C were found to be 1.78 times higher when compared with herbal preparations.</w:t>
      </w:r>
    </w:p>
    <w:p>
      <w:pPr>
        <w:pStyle w:val="BodyText"/>
        <w:ind w:left="299" w:right="609"/>
      </w:pPr>
      <w:r>
        <w:rPr/>
        <w:t xml:space="preserve"> Plants are widely consumed throughout parts of the world due to their good healing and health promoting properties (). Increasingly, thousands of medicinal plants are exporting as crafts, food and cosmetics industries, primarily from developing countries and rural areas in Asia due to the excellent value of the plants globally and its economical and</w:t>
      </w:r>
    </w:p>
    <w:p>
      <w:pPr>
        <w:pStyle w:val="BodyText"/>
        <w:ind w:left="299" w:right="115"/>
      </w:pPr>
      <w:r>
        <w:rPr/>
        <w:t xml:space="preserve"> Γeﬃcousness. Moreover, owing to the high automation of the provision of cash crops and cropping plants, present and extreme drought conditions make Africa and South-East Asia (and East Europe) regions agriculture and food resistant to increase</w:t>
      </w:r>
    </w:p>
    <w:p>
      <w:pPr>
        <w:pStyle w:val="BodyText"/>
        <w:ind w:left="299"/>
      </w:pPr>
      <w:r>
        <w:rPr/>
        <w:t xml:space="preserve"> Fig. 2. Plants commonly consumed in the African region and consumed by adults and children (n = 204).</w:t>
      </w:r>
    </w:p>
    <w:p>
      <w:pPr>
        <w:pStyle w:val="BodyText"/>
        <w:ind w:left="299"/>
      </w:pPr>
      <w:r>
        <w:rPr/>
        <w:t xml:space="preserve"> Fig. 3. Anti‐HIV plants commonly consumed in the study area (n = 206). A, Hemeosperma pulchellata (Abell.) Gaertn. B, Penstemon scoporia (Lepidoptera: Camponotus spp.)</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Citation:</w:t>
      </w:r>
    </w:p>
    <w:p>
      <w:pPr>
        <w:spacing w:line="187" w:lineRule="exact" w:before="0"/>
        <w:ind w:left="299" w:right="0" w:firstLine="0"/>
        <w:jc w:val="left"/>
        <w:rPr>
          <w:sz w:val="16"/>
        </w:rPr>
      </w:pPr>
      <w:r>
        <w:rPr>
          <w:sz w:val="16"/>
        </w:rPr>
        <w:t xml:space="preserve"> that is, the population of androphilia increased because it is applied to treat hyper- glycemia and has antiviral properties ().</w:t>
      </w:r>
    </w:p>
    <w:p>
      <w:pPr>
        <w:spacing w:line="199" w:lineRule="exact" w:before="0"/>
        <w:ind w:left="299" w:right="0" w:firstLine="0"/>
        <w:jc w:val="left"/>
        <w:rPr>
          <w:sz w:val="16"/>
        </w:rPr>
      </w:pPr>
      <w:r>
        <w:rPr>
          <w:b w:val="0"/>
          <w:i w:val="0"/>
          <w:sz w:val="17"/>
          <w:u w:val="none"/>
        </w:rPr>
        <w:t>Potentilla erecta can be grown as grafts of</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and regenerated into variety of commonly consumed African medicinal plants ().</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74 Rhodora [Vol. 113</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Fig</dc:creator>
  <dc:title> R. crispus , Sambucus nigra ( Kaghura ) Robustum</dc:title>
  <dcterms:created xsi:type="dcterms:W3CDTF">2020-12-09T15:13:52Z</dcterms:created>
  <dcterms:modified xsi:type="dcterms:W3CDTF">2020-12-09T15:13:52Z</dcterms:modified>
  <cp:category/>
  <dc:description/>
  <cp:contentStatus/>
  <dc:identifier/>
  <cp:keywords/>
  <dc:language/>
  <cp:lastModifiedBy/>
  <dc:subject/>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