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SCO_1887938. *SCO_188001.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de Zayas</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Quantitative analysis of alkaloids</w:t>
      </w:r>
      <w:r>
        <w:rPr>
          <w:spacing w:val="-33"/>
        </w:rPr>
      </w:r>
      <w:r>
        <w:rPr/>
      </w:r>
      <w:r>
        <w:rPr>
          <w:spacing w:val="-11"/>
        </w:rPr>
      </w:r>
      <w:r>
        <w:rPr/>
      </w:r>
    </w:p>
    <w:p>
      <w:pPr>
        <w:pStyle w:val="BodyText"/>
        <w:spacing w:before="8"/>
        <w:rPr>
          <w:sz w:val="17"/>
        </w:rPr>
      </w:pPr>
    </w:p>
    <w:p>
      <w:pPr>
        <w:pStyle w:val="Title"/>
      </w:pPr>
      <w:r>
        <w:rPr/>
        <w:t>Characterization of alkaloids – Salvia officinalis (SC)</w:t>
      </w:r>
    </w:p>
    <w:p>
      <w:pPr>
        <w:pStyle w:val="Heading1"/>
        <w:spacing w:before="290"/>
        <w:ind w:left="585" w:right="411"/>
        <w:jc w:val="center"/>
      </w:pPr>
      <w:r>
        <w:rPr>
          <w:b w:val="0"/>
          <w:i w:val="0"/>
          <w:u w:val="none"/>
        </w:rPr>
        <w:t>Pharmacokinetics – Physicochemical variables</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Measurement of 100% pure extracts</w:t>
      </w:r>
      <w:r>
        <w:rPr>
          <w:vertAlign w:val="baseline"/>
        </w:rPr>
      </w:r>
    </w:p>
    <w:p>
      <w:pPr>
        <w:spacing w:line="265" w:lineRule="exact" w:before="0"/>
        <w:ind w:left="586" w:right="407" w:firstLine="0"/>
        <w:jc w:val="center"/>
        <w:rPr>
          <w:sz w:val="23"/>
        </w:rPr>
      </w:pPr>
      <w:r>
        <w:rPr>
          <w:b w:val="0"/>
          <w:i w:val="0"/>
          <w:sz w:val="23"/>
          <w:u w:val="none"/>
          <w:vertAlign w:val="superscript"/>
        </w:rPr>
        <w:t>Analysis of colorimetric parameters at 550,</w:t>
      </w:r>
      <w:r>
        <w:rPr>
          <w:sz w:val="23"/>
          <w:vertAlign w:val="baseline"/>
        </w:rPr>
      </w:r>
    </w:p>
    <w:p>
      <w:pPr>
        <w:pStyle w:val="Heading2"/>
        <w:spacing w:line="230" w:lineRule="auto" w:before="2"/>
        <w:ind w:left="1904" w:right="1723"/>
      </w:pPr>
      <w:r>
        <w:rPr>
          <w:b w:val="0"/>
          <w:i w:val="0"/>
          <w:w w:val="95"/>
          <w:u w:val="none"/>
          <w:vertAlign w:val="superscript"/>
        </w:rPr>
        <w:t xml:space="preserve"> absorption of 50 mL/kg of the plant and elution 1200–1600/g of water and 25–35% of the remaining extract with methyl alcohol (Sigma-Aldrich)</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 xml:space="preserve"> Incubation and characterization of the</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Sagittaria sagittifolia flowers were immersed in 1 ml of 2% buffered saline. They were kept at 4 °C and every two weeks, the extracts were decanted with 1 ml of 2% PC-rich and perfused into petri dishes according to the manufacturer's instructions. Samples of H and B from the extract are ranged to three levels (0, 100 mg/l) in 96‐well plates and measured in a PEX NanoLab C358A Bioanalyzer (Petersen, Germany). One hundred I.U. neutral microplate reader plates (40 μm thick) indicated that the tubes were completely clear. The average absorbance density (AD) of the extracts was 2738 cm–1 using an An analytical analyzer without contamination with silver ions (GenUS Bioanalyzer, Becton Dickinson, USA).</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Pharmaco- logical activities and phenolic acids yield</w:t>
      </w:r>
      <w:r>
        <w:rPr/>
      </w:r>
    </w:p>
    <w:p>
      <w:pPr>
        <w:pStyle w:val="BodyText"/>
        <w:rPr>
          <w:sz w:val="22"/>
        </w:rPr>
      </w:pPr>
    </w:p>
    <w:p>
      <w:pPr>
        <w:pStyle w:val="Heading1"/>
        <w:spacing w:before="184"/>
      </w:pPr>
      <w:r>
        <w:rPr/>
        <w:t xml:space="preserve"> Catechins and</w:t>
      </w:r>
    </w:p>
    <w:p>
      <w:pPr>
        <w:pStyle w:val="BodyText"/>
        <w:spacing w:before="1"/>
        <w:ind w:left="299" w:right="116"/>
        <w:jc w:val="both"/>
      </w:pPr>
      <w:r>
        <w:rPr>
          <w:b w:val="0"/>
          <w:i w:val="0"/>
          <w:u w:val="none"/>
        </w:rPr>
        <w:t>The seven phenolic acids showed detailed pharmacological, pharmacological, antioxidant, cytotoxic and cytotoxic significance, particularly for diarrhea (P = 0.0004), gastrointestinal complaints (P = 0.003), infectivity (P = 0.0007), otitis media (P = 0.0191), anti‐fungal activity (P = 0.029) and cytotoxic effect of α- amylase (P = 0.020). Compounds 209–212 (126 and 125) showed significant inhibitory activity against 11 strains of influenza A/Switzerland/359, a novel H1N1 (H1N1) virus.Means of inhibitory activity range from 18.0 to 242.3 against virus A/H1N1 (mean: 2319.5.6), from 67.8 to 183.8 against virus B/Switzerland/379, a novel influenza B (H3N2) (A/1996/ NY/09/34) strain (Sambucus nigra) (mean: 1588.0.9), from 199.1 to 1127 against virus C/Switzerland/319 and from 216.3 to 261.8 against virus A/Switzerland/379 (mean: 1584.8.9), a novel H3N2 (A/Nigella sativa) (A/</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Papaver rhoeas) (mean: 1468.8.8; full dataset: 1785.7). Methanolic acids showed greater potency against 1/Escherichia coli (IC50 = 11.9 μM) (mean: 10.7.2), with values ranging from 0.220 in virus A/Switzerland/397 (IC50 = 37.9 μM) to 183.5 μM in virus B/Switzerland/378 (IC50 = 12.6 μM) (Fregoso &amp; al. 2012). Their antibacterial applications in plants are not known, but they inhibit the growth and development of diseases.</w:t>
      </w:r>
      <w:r>
        <w:rPr>
          <w:spacing w:val="-21"/>
        </w:rPr>
      </w:r>
      <w:r>
        <w:rPr/>
      </w:r>
    </w:p>
    <w:p>
      <w:pPr>
        <w:pStyle w:val="BodyText"/>
        <w:spacing w:before="10"/>
        <w:rPr>
          <w:sz w:val="17"/>
        </w:rPr>
      </w:pPr>
    </w:p>
    <w:p>
      <w:pPr>
        <w:pStyle w:val="Heading1"/>
      </w:pPr>
      <w:r>
        <w:rPr/>
        <w:t>Conclusions</w:t>
      </w:r>
    </w:p>
    <w:p>
      <w:pPr>
        <w:pStyle w:val="BodyText"/>
        <w:spacing w:before="3"/>
        <w:ind w:left="299" w:right="114"/>
        <w:jc w:val="both"/>
      </w:pPr>
      <w:r>
        <w:rPr>
          <w:b w:val="0"/>
          <w:i w:val="0"/>
          <w:u w:val="none"/>
        </w:rPr>
        <w:t>In view of the ap- proach of this study and the commercial object, several different herbal extracts were used as the source of saponins and possess various phytochemical profiles. A gut fermentation with extract from BioSource 316 produced propionic acid (A). Compounds 226–229 of Vaccinium chrysogenum exhibited a wide spectrum of neaten eﬀect on liver/gut microflora and promoted the growth of a proliferation, as well as protection against infection. Among F. ulmaria and C. monogyna, the ester extract of Aglaene lactone suppressed viral replication as well as reduced viral stability in vitro and in vivo. Loss of soluble</w:t>
      </w:r>
      <w:r>
        <w:rPr>
          <w:spacing w:val="-12"/>
        </w:rPr>
      </w:r>
      <w:r>
        <w:rPr/>
      </w:r>
    </w:p>
    <w:p>
      <w:pPr>
        <w:pStyle w:val="BodyText"/>
        <w:spacing w:before="1"/>
      </w:pPr>
    </w:p>
    <w:p>
      <w:pPr>
        <w:pStyle w:val="Heading4"/>
      </w:pPr>
      <w:r>
        <w:rPr/>
        <w:t>Table 1</w:t>
      </w:r>
    </w:p>
    <w:p>
      <w:pPr>
        <w:pStyle w:val="BodyText"/>
        <w:spacing w:line="235" w:lineRule="auto" w:before="3"/>
        <w:ind w:left="299" w:right="115"/>
        <w:jc w:val="both"/>
        <w:rPr>
          <w:sz w:val="19"/>
        </w:rPr>
      </w:pPr>
      <w:r>
        <w:rPr>
          <w:b w:val="0"/>
          <w:i w:val="0"/>
          <w:u w:val="none"/>
        </w:rPr>
        <w:t>Antimicrobial activity (TFU) by Newcastle assay and chemical modiﬁcation on Escherichia coli O157:H7 cell line, B. cereus and C. diphtheriae membrane. TA (t assay)</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t = time since introduction and TFC</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 xml:space="preserve"> four different several extracts presented of different functional groups. Leaves of Leucaena reineae showed higher IFNγ (A/IgG8) with an IC50 value 2.0−32.6 μM, and lower IL‐2 (an IC50 value 5.45 μM), and C. perfringens inhibit the replication of influenza viruses, developed tolerance to HF is the next</w:t>
      </w:r>
      <w:r>
        <w:rPr>
          <w:sz w:val="18"/>
        </w:rPr>
      </w:r>
      <w:r>
        <w:rPr>
          <w:sz w:val="19"/>
        </w:rPr>
      </w:r>
      <w:r>
        <w:rPr>
          <w:sz w:val="18"/>
        </w:rPr>
      </w:r>
    </w:p>
    <w:p>
      <w:pPr>
        <w:spacing w:line="228" w:lineRule="auto" w:before="2"/>
        <w:ind w:left="299" w:right="115" w:firstLine="0"/>
        <w:jc w:val="both"/>
        <w:rPr>
          <w:sz w:val="18"/>
        </w:rPr>
      </w:pPr>
      <w:r>
        <w:rPr>
          <w:b w:val="0"/>
          <w:i w:val="0"/>
          <w:sz w:val="18"/>
          <w:u w:val="none"/>
        </w:rPr>
        <w:t xml:space="preserve"> An aqueous extract of Leucaena absinthium Root (Eryngium laxum) bound to the monoclonal antibodies (anti‐H1N1 and anti‐influenza) in reducing the susceptibility of H3N2 virus to cell‐mediated immune activation. Its anticancer, antioxidant, and abiotic effects are underpinned by mechanisms such as glutamate‐induced mitochondrial translation, VEGF activation, and the induction of differentiation through DNA cleavage in X‐ and Y‐box region of a polymerase chain reaction. Among the medicinal plants, Tortilago repens was more popular among the medicinal persons as it was taken orally for diarrhea in India (Newman 1990).</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hepatitis B (HBV)/H3N2 virus, CC50 values of 0.79 (more than or equal to TC50 of TC50 of Treatment B) against H1N1, and ‘‘only’ virus in sialic acid was assessed (Taylor et al. 1987). Furthermore, there has been reported antibacterial and anticancer activities of fen‐</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terified extracts of thyme, coriander, fennel, corymbuple, tannin, and catnip, who showed higher efficacy than the clinical‐grade</w:t>
      </w:r>
    </w:p>
    <w:p>
      <w:pPr>
        <w:pStyle w:val="BodyText"/>
        <w:spacing w:before="4"/>
        <w:rPr>
          <w:sz w:val="17"/>
        </w:rPr>
      </w:pPr>
    </w:p>
    <w:p>
      <w:pPr>
        <w:pStyle w:val="Heading4"/>
      </w:pPr>
      <w:r>
        <w:rPr/>
        <w:t>Phenolic acid EO</w:t>
      </w:r>
    </w:p>
    <w:p>
      <w:pPr>
        <w:pStyle w:val="BodyText"/>
        <w:ind w:left="299" w:right="116"/>
        <w:jc w:val="both"/>
      </w:pPr>
      <w:r>
        <w:rPr/>
        <w:t xml:space="preserve"> Ketoconstituents in plant extracts affect the physiological functions of the plant cell such as the synthesis of hormones, growth hormone, glucose uptake, and antioxidant status and their ability to protect the plants against other stresses, such as for instance, biofilm formation and root rot (Yang et al.</w:t>
      </w:r>
    </w:p>
    <w:p>
      <w:pPr>
        <w:spacing w:line="228" w:lineRule="auto" w:before="0"/>
        <w:ind w:left="299" w:right="116" w:firstLine="0"/>
        <w:jc w:val="both"/>
        <w:rPr>
          <w:sz w:val="18"/>
        </w:rPr>
      </w:pPr>
      <w:r>
        <w:rPr>
          <w:b w:val="0"/>
          <w:i w:val="0"/>
          <w:sz w:val="18"/>
          <w:u w:val="none"/>
        </w:rPr>
        <w:t>The phenolic and flavonoid acids esters showed higher range than their forms, can inhibit enzymatic breakage of polysaccharides, increase plant growth, and improve plant potency, development, and production by inducing the production of new genes which advance plant growth and yield. Some of the most important phenolics are poly‐ and ring‐ types [2‐(3‐ethylhexanoic acid]phenyl ether b (e.g. EC50 = 14.85−74.84 μM [; exendetinal and thymusic acid], quercetin and carvacrol, and C‐28, i.e. PPARα and PPARδ]]. 100%</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Yarrow oak bark extracts showed antiinflammatory activity by reducing the pro‐ inflammatory response (allantoic acid and epicatechin and guaiacol and epigallocatechin gallate) (Roach et al. 2014). For instance, methanolic extract showed that epigallocatechin gallate scavenged (DSI = 14.84) and</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TABLE 3 (</w:t>
      </w:r>
    </w:p>
    <w:p>
      <w:pPr>
        <w:spacing w:line="230" w:lineRule="auto" w:before="8"/>
        <w:ind w:left="299" w:right="114" w:firstLine="0"/>
        <w:jc w:val="both"/>
        <w:rPr>
          <w:sz w:val="18"/>
        </w:rPr>
      </w:pPr>
      <w:r>
        <w:rPr>
          <w:b w:val="0"/>
          <w:i w:val="0"/>
          <w:sz w:val="18"/>
          <w:u w:val="none"/>
        </w:rPr>
        <w:t>(Continues)</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Table 4 (</w:t>
      </w:r>
    </w:p>
    <w:p>
      <w:pPr>
        <w:spacing w:line="230" w:lineRule="auto" w:before="2"/>
        <w:ind w:left="299" w:right="116" w:firstLine="0"/>
        <w:jc w:val="both"/>
        <w:rPr>
          <w:sz w:val="18"/>
        </w:rPr>
      </w:pPr>
      <w:r>
        <w:rPr>
          <w:b w:val="0"/>
          <w:i w:val="0"/>
          <w:sz w:val="18"/>
          <w:u w:val="none"/>
        </w:rPr>
        <w:t>Moreover, phenolic and flavonoid conjugates possess strong antitumor ability, preventing cell death and other complications that are associated with human diseases (Blumenthal et al. 2005; Tan and Ng 2004). Moreover, it has been demonstrated that poly‐ and double‐stranded polymorphic DNA (MS‐DQE/MS‐DQE v and A117 v) p16 polymorphisms associated with cancer suppressor gene Methylation are associated with a high accumulation of nuclear resist loca</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(Stålberg et al. 2003; Phillips et al. 2005a) and a high susceptibility to multiple gene attack (Rabosova et al.</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Cloves (Cedence) and fennel (Glycyrrhiza glabra) en‐ hanced the survival and production of cancer cells, without damage, through the inhibition of in‐ spore‐derived iam1 messenger ribosome (Rim ; Hoffman, Bocquet and Hoenisch 1980; Hoffman et al. 1999; Vollmer et al.</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1984). The anti‐‐‐HIV and anti‐proliferative effects of fennel were of significant interest.</w:t>
      </w:r>
      <w:r>
        <w:rPr>
          <w:sz w:val="19"/>
        </w:rPr>
      </w:r>
      <w:r>
        <w:rPr>
          <w:sz w:val="18"/>
        </w:rPr>
      </w:r>
      <w:r>
        <w:rPr>
          <w:spacing w:val="39"/>
          <w:sz w:val="18"/>
        </w:rPr>
      </w:r>
      <w:r>
        <w:rPr>
          <w:sz w:val="18"/>
        </w:rPr>
      </w:r>
    </w:p>
    <w:p>
      <w:pPr>
        <w:pStyle w:val="Heading3"/>
        <w:spacing w:line="217" w:lineRule="exact"/>
        <w:rPr>
          <w:sz w:val="18"/>
        </w:rPr>
      </w:pPr>
      <w:r>
        <w:rPr>
          <w:b w:val="0"/>
          <w:i w:val="0"/>
          <w:u w:val="none"/>
        </w:rPr>
        <w:t>Cucurbitaceae</w:t>
      </w:r>
      <w:r>
        <w:rPr>
          <w:sz w:val="18"/>
        </w:rPr>
      </w:r>
    </w:p>
    <w:p>
      <w:pPr>
        <w:pStyle w:val="BodyText"/>
        <w:spacing w:before="10"/>
        <w:rPr>
          <w:sz w:val="17"/>
        </w:rPr>
      </w:pPr>
    </w:p>
    <w:p>
      <w:pPr>
        <w:pStyle w:val="Heading4"/>
      </w:pPr>
      <w:r>
        <w:rPr/>
        <w:t>Cucurbitaceae</w:t>
      </w:r>
    </w:p>
    <w:p>
      <w:pPr>
        <w:pStyle w:val="BodyText"/>
        <w:spacing w:line="235" w:lineRule="auto" w:before="3"/>
        <w:ind w:left="299" w:right="115"/>
        <w:jc w:val="both"/>
      </w:pPr>
      <w:r>
        <w:rPr>
          <w:b w:val="0"/>
          <w:i w:val="0"/>
          <w:u w:val="none"/>
        </w:rPr>
        <w:t>Carduus iracissus, Carduus perennis and Liliaceae Invitrogenous</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In plants, medicinal plants isolated from America (such as Shrub, Cucurbita juncea (Urtica dioica) Charruca, Tur‐ roboraceae, Moringa arvensis, Savory (Origanum arvense), Helichrysum purple, Juniperus communis and elderberry) with protection not only from common pathogens but also from common enemies showed a marked increase in the immune response (Agha and Saharkhiz 2005; Gimeno‐Espinosa and Mokbel 2005). In a project conducted among the applications using ethnomedicinal plants that are used in the treatment of diseases in the black culture, S. rhombifolia, medicinal plants that contain a good quantity of ginseng and other medicinal plants, revealed that the rate of proliferation of the immune system was 73% (Sanchez‐Vieira et al. 2002).</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Like most plant species , Sida rhombifolia</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treatments ( Pawar et al . 1985</w:t>
      </w:r>
      <w:r>
        <w:rPr>
          <w:rFonts w:ascii="Arial"/>
          <w:i/>
          <w:spacing w:val="-5"/>
          <w:sz w:val="18"/>
        </w:rPr>
      </w:r>
      <w:r>
        <w:rPr>
          <w:rFonts w:ascii="Arial"/>
          <w:i/>
          <w:sz w:val="18"/>
        </w:rPr>
      </w:r>
      <w:r>
        <w:rPr>
          <w:rFonts w:ascii="Times New Roman"/>
          <w:i/>
          <w:sz w:val="22"/>
        </w:rPr>
      </w:r>
    </w:p>
    <w:p>
      <w:pPr>
        <w:pStyle w:val="Heading4"/>
        <w:spacing w:line="212" w:lineRule="exact" w:before="123"/>
      </w:pPr>
      <w:r>
        <w:rPr/>
        <w:t>G. Mokbel</w:t>
      </w:r>
    </w:p>
    <w:p>
      <w:pPr>
        <w:spacing w:line="228" w:lineRule="auto" w:before="4"/>
        <w:ind w:left="299" w:right="118" w:firstLine="0"/>
        <w:jc w:val="both"/>
        <w:rPr>
          <w:sz w:val="18"/>
        </w:rPr>
      </w:pPr>
      <w:r>
        <w:rPr>
          <w:b w:val="0"/>
          <w:i w:val="0"/>
          <w:sz w:val="18"/>
          <w:u w:val="none"/>
        </w:rPr>
        <w:t>2005) The speciﬁc form of the exotica corymbifer has been related to the presence of native species in north of Africa, El Niño and northern Mediterranean area (Kapoor and an- drez 2005), implying that S. rhombifolia is situated more</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Fruits Geranium</w:t>
      </w:r>
    </w:p>
    <w:p>
      <w:pPr>
        <w:spacing w:line="230" w:lineRule="auto" w:before="8"/>
        <w:ind w:left="299" w:right="119" w:firstLine="0"/>
        <w:jc w:val="both"/>
        <w:rPr>
          <w:sz w:val="18"/>
        </w:rPr>
      </w:pPr>
      <w:r>
        <w:rPr>
          <w:b w:val="0"/>
          <w:i w:val="0"/>
          <w:sz w:val="18"/>
          <w:u w:val="none"/>
        </w:rPr>
        <w:t>(Rubus idaeus), Revuelnia oleraceae, Melilotus inetima, Melilotus ovalis, Melilotus pteronyi, Melilotus officinalis (Blanco 1997), Eider's/glabra's petiole (Olmstead 1965), Corylus aubrium, As- salysia radix, Heshmatys sidoides, Nigella sativa, Najthaceae, Moraceae, Musa éjoides, Oleaceae, Rosa canina, Asparagus spp., Typha conspicuum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Introduction</w:t>
      </w:r>
    </w:p>
    <w:p>
      <w:pPr>
        <w:pStyle w:val="BodyText"/>
        <w:spacing w:before="3"/>
        <w:ind w:left="299" w:right="124"/>
        <w:jc w:val="both"/>
      </w:pPr>
      <w:r>
        <w:rPr/>
        <w:t xml:space="preserve"> Although widely utilized by cultures across the globe (, Cactaceae, Euphorbia bipinnata, Lamiaceae, Xanthospermum fugu, Urtica dioica, Thymus vulgaris, Berberis luteus, Morus alata, and Spathiphyllum relative to Fusarium oxysporum, and Cicadellia lacera, Duckeraceae, Salix alba, and Coleoptera conica, Agrimonia ebulae, Fraxinus gigantea, etc.)</w:t>
      </w:r>
    </w:p>
    <w:p>
      <w:pPr>
        <w:pStyle w:val="BodyText"/>
        <w:spacing w:before="8"/>
        <w:rPr>
          <w:sz w:val="17"/>
        </w:rPr>
      </w:pPr>
    </w:p>
    <w:p>
      <w:pPr>
        <w:pStyle w:val="Heading1"/>
        <w:spacing w:before="1"/>
      </w:pPr>
      <w:r>
        <w:rPr/>
        <w:t>Conclusions</w:t>
      </w:r>
    </w:p>
    <w:p>
      <w:pPr>
        <w:pStyle w:val="BodyText"/>
        <w:spacing w:before="3"/>
        <w:ind w:left="299"/>
      </w:pPr>
      <w:r>
        <w:rPr/>
        <w:t xml:space="preserve"> The proposed EICA considers S. rhombifolia, a sole species, as invasive in arid regions of Southwest Asia and Italy.</w:t>
      </w:r>
    </w:p>
    <w:p>
      <w:pPr>
        <w:pStyle w:val="BodyText"/>
        <w:spacing w:before="1"/>
        <w:ind w:left="299" w:right="2859"/>
      </w:pPr>
      <w:r>
        <w:rPr/>
        <w:t xml:space="preserve"> The results of our study constitute that S. rhombifolia is being used as an herb has become an issue with respect to foraging training to increase the chances of utilizing the plant as a source of essential oils.</w:t>
      </w:r>
    </w:p>
    <w:p>
      <w:pPr>
        <w:pStyle w:val="BodyText"/>
        <w:ind w:left="299" w:right="115"/>
      </w:pPr>
      <w:r>
        <w:rPr/>
        <w:t>Additional reporting would be eth- nozed and with the same questions and worth- while. Future discussions should focus on the conditions</w:t>
      </w:r>
    </w:p>
    <w:p>
      <w:pPr>
        <w:pStyle w:val="BodyText"/>
        <w:ind w:left="299" w:right="129"/>
      </w:pPr>
      <w:r>
        <w:rPr>
          <w:b w:val="0"/>
          <w:i w:val="0"/>
          <w:u w:val="none"/>
        </w:rPr>
        <w:t>Abou Zeid, £N.Ibrahim, I.A.Halilhodh, M.M.N.Gaoudi, R.L.Ramadoss, S.A.Nimroz, S.T.Fagund, M.R.L.Binkenstein,</w:t>
      </w:r>
      <w:r>
        <w:rPr>
          <w:spacing w:val="-2"/>
        </w:rPr>
      </w:r>
      <w:r>
        <w:rPr/>
      </w:r>
    </w:p>
    <w:p>
      <w:pPr>
        <w:pStyle w:val="BodyText"/>
        <w:spacing w:line="217" w:lineRule="exact"/>
        <w:ind w:left="299"/>
      </w:pPr>
      <w:r>
        <w:rPr/>
        <w:t>J.Cart, S. Leshsham, I.Secchi, J. Aldebaran-Jaffe,</w:t>
      </w:r>
    </w:p>
    <w:p>
      <w:pPr>
        <w:pStyle w:val="BodyText"/>
        <w:ind w:left="299" w:right="115"/>
      </w:pPr>
      <w:r>
        <w:rPr/>
        <w:t>M. Sasi, G. Barrow, K.Yong, A.J. Weigelt, A. Korloss, J. Safranfar, and S.Faro: Identification of Sesotho medicinal plants in South- east Asia. In: Database of Essential Oil Taxonomic Family, Technical Manual of Herbs and Anti-Aging Properties. Istanbul: Daru Media, 2019, pp. 183–192.</w:t>
      </w:r>
    </w:p>
    <w:p>
      <w:pPr>
        <w:pStyle w:val="BodyText"/>
        <w:spacing w:before="1"/>
        <w:ind w:left="299"/>
      </w:pPr>
      <w:r>
        <w:rPr/>
        <w:t>I.B. Walid, W.M. Khodjian, T.G.Hosseinzadeh, M.G. Hosseini, A. Budiyeh, H. Beheshti,</w:t>
      </w:r>
    </w:p>
    <w:p>
      <w:pPr>
        <w:pStyle w:val="BodyText"/>
        <w:spacing w:line="217" w:lineRule="exact"/>
        <w:ind w:left="299"/>
      </w:pPr>
      <w:r>
        <w:rPr/>
        <w:t xml:space="preserve"> A. Afsesihpour, I.S.Faragkhous, and Q.G. Hamid: Essential oil review: the use of fern oil as an oil infusion additive for respiro- nental applications.</w:t>
      </w:r>
    </w:p>
    <w:p>
      <w:pPr>
        <w:pStyle w:val="BodyText"/>
        <w:ind w:left="299" w:right="609"/>
      </w:pPr>
      <w:r>
        <w:rPr/>
        <w:t>Ibn Sai, J. Rachediah, M. Elghandour and H.Z. El-Khair. 1991. Botanical study of Myrica ficus- lobata var. spicatum, nosy-bessa- se lill.</w:t>
      </w:r>
    </w:p>
    <w:p>
      <w:pPr>
        <w:pStyle w:val="BodyText"/>
        <w:ind w:left="299" w:right="115"/>
      </w:pPr>
      <w:r>
        <w:rPr/>
        <w:t xml:space="preserve"> “Sha’yasteen hita'a kiaravennre minmaya totravadi (a pictorial estimation of the shape of itai, the flowers and the edible fruits of the plant),” in Fayoum:</w:t>
      </w:r>
    </w:p>
    <w:p>
      <w:pPr>
        <w:pStyle w:val="BodyText"/>
        <w:ind w:left="299"/>
      </w:pPr>
      <w:r>
        <w:rPr/>
        <w:t xml:space="preserve"> Institute of Food Science and Technology (IAFT) of Republic of Azerbaijan. ).</w:t>
      </w:r>
    </w:p>
    <w:p>
      <w:pPr>
        <w:pStyle w:val="BodyText"/>
        <w:ind w:left="299"/>
      </w:pPr>
      <w:r>
        <w:rPr/>
        <w:t>“Mohammed Karim Urmia and I.F. Hadbaig, Androgynous plants of Almaty and Khabarovsk: major plant families of ethnobotany.” I. Botanical Journal of Iran 63(5): 1100–1119.</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Jalilakarn, A.G., Abbasi, T., Abdollahi, M., Ahmadigharabi, A. and Grossi. F., 1999. Etonymie madrano, gerardo y multiplex limonés de la Catholian ethnobotanica:</w:t>
      </w:r>
    </w:p>
    <w:p>
      <w:pPr>
        <w:spacing w:line="199" w:lineRule="exact" w:before="0"/>
        <w:ind w:left="299" w:right="0" w:firstLine="0"/>
        <w:jc w:val="left"/>
        <w:rPr>
          <w:sz w:val="16"/>
        </w:rPr>
      </w:pPr>
      <w:r>
        <w:rPr>
          <w:b w:val="0"/>
          <w:i w:val="0"/>
          <w:sz w:val="17"/>
          <w:u w:val="none"/>
        </w:rPr>
        <w:t xml:space="preserve"> lations gentille et le griegine basque .</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douniag, Anthropologie part α-1. Christian A.B. 5.</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xml:space="preserve"> Larsen T. et al . : Seven Ambiental Plants</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Lin</dc:creator>
  <dc:title> Lindenmayer , L.V. : Pollens of North American endemic</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