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 If climate conditions change</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VOLUME 4</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 xml:space="preserve"> Author et al . : Preparation of Papers</w:t>
      </w:r>
      <w:r>
        <w:rPr>
          <w:spacing w:val="-33"/>
        </w:rPr>
      </w:r>
      <w:r>
        <w:rPr/>
      </w:r>
      <w:r>
        <w:rPr>
          <w:spacing w:val="-11"/>
        </w:rPr>
      </w:r>
      <w:r>
        <w:rPr/>
      </w:r>
    </w:p>
    <w:p>
      <w:pPr>
        <w:pStyle w:val="BodyText"/>
        <w:spacing w:before="8"/>
        <w:rPr>
          <w:sz w:val="17"/>
        </w:rPr>
      </w:pPr>
    </w:p>
    <w:p>
      <w:pPr>
        <w:pStyle w:val="Title"/>
      </w:pPr>
      <w:r>
        <w:rPr/>
        <w:t>is into secondary disruption</w:t>
      </w:r>
    </w:p>
    <w:p>
      <w:pPr>
        <w:pStyle w:val="Heading1"/>
        <w:spacing w:before="290"/>
        <w:ind w:left="585" w:right="411"/>
        <w:jc w:val="center"/>
      </w:pPr>
      <w:r>
        <w:rPr>
          <w:b w:val="0"/>
          <w:i w:val="0"/>
          <w:u w:val="none"/>
        </w:rPr>
        <w:t>which may be destructive of plant life in the area.</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 xml:space="preserve"> Keywords : Protection , Alien plants , IAPs ,</w:t>
      </w:r>
      <w:r>
        <w:rPr>
          <w:vertAlign w:val="baseline"/>
        </w:rPr>
      </w:r>
    </w:p>
    <w:p>
      <w:pPr>
        <w:spacing w:line="265" w:lineRule="exact" w:before="0"/>
        <w:ind w:left="586" w:right="407" w:firstLine="0"/>
        <w:jc w:val="center"/>
        <w:rPr>
          <w:sz w:val="23"/>
        </w:rPr>
      </w:pPr>
      <w:r>
        <w:rPr>
          <w:b w:val="0"/>
          <w:i w:val="0"/>
          <w:sz w:val="23"/>
          <w:u w:val="none"/>
          <w:vertAlign w:val="superscript"/>
        </w:rPr>
        <w:t>© 2010 Elsevier Ltd. All rights reserved.</w:t>
      </w:r>
      <w:r>
        <w:rPr>
          <w:sz w:val="23"/>
          <w:vertAlign w:val="baseline"/>
        </w:rPr>
      </w:r>
    </w:p>
    <w:p>
      <w:pPr>
        <w:pStyle w:val="Heading2"/>
        <w:spacing w:line="230" w:lineRule="auto" w:before="2"/>
        <w:ind w:left="1904" w:right="1723"/>
      </w:pPr>
      <w:r>
        <w:rPr>
          <w:b w:val="0"/>
          <w:i w:val="0"/>
          <w:w w:val="95"/>
          <w:u w:val="none"/>
          <w:vertAlign w:val="superscript"/>
        </w:rPr>
        <w:t xml:space="preserve">Environment 30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4640-3607/©2011ElsevierB.V.Allrightsreserved.</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 xml:space="preserve"> Establishing in this study the effects of invasive species on pollinators in relation to local AM fungal communities gave rise to the question, which of approximately 20 categories consists of economically important pollinators, and which do not? Thus, limiting exclusion criteria to one of these two groups resulted in 152 pollinators that were not economically important. The pollinators of both groups, including colonies of leaves, were highly variable across the AM fungal community structures with different exposure times. Although pollinator abundance increased ‘before establishment’, the diversity of species richness declined rapidly once a canopy partition was installed. Furthermore, AM fungi (Michx.) had the highest number of exogenous invaders as no other genus potentially dominated the area. The highest AM fungal species richness was recorded in the abundant DDV strain in the fragmented multiuse carefree forest, indicating that not all AM fungi presently occur in the dense canopy of a fragmented multiuse environment.</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 xml:space="preserve"> plants relatively early in its life cycle (; ). The use of water hyacinth and spotted knapweed among submerged macrophytes in subtropical temperate ecosystems and the contrasting</w:t>
      </w:r>
      <w:r>
        <w:rPr/>
      </w:r>
    </w:p>
    <w:p>
      <w:pPr>
        <w:pStyle w:val="BodyText"/>
        <w:rPr>
          <w:sz w:val="22"/>
        </w:rPr>
      </w:pPr>
    </w:p>
    <w:p>
      <w:pPr>
        <w:pStyle w:val="Heading1"/>
        <w:spacing w:before="184"/>
      </w:pPr>
      <w:r>
        <w:rPr/>
        <w:t>| 446 |</w:t>
      </w:r>
    </w:p>
    <w:p>
      <w:pPr>
        <w:pStyle w:val="BodyText"/>
        <w:spacing w:before="1"/>
        <w:ind w:left="299" w:right="116"/>
        <w:jc w:val="both"/>
      </w:pPr>
      <w:r>
        <w:rPr>
          <w:b w:val="0"/>
          <w:i w:val="0"/>
          <w:u w:val="none"/>
        </w:rPr>
        <w:t>estivation of the mixed-species AM fungi also indirectly reduced occurrence of invasive fungal species. As our data indicate, the mixed-species AM fungi declined when nonmycorrhizal and autochthonous communities were inci- dently dis- solved in the mixed ecosystem settings, suggesting that the mix-species AM fungi had enough competitive potential against macrophytes to sustain host-free invasives. However, despite being the dominant species within the mixed-use Doherty Complex, the mix-species AM fungi had only an insignificant influence on IAP abundances, resulting in an overall no-trespass difference between intact (AEW) and fragmented multiuse (MCP) ecosystems. The high prevalence of species rich in pathogenic pathogenic bacteria can contribute to high deter- minance of their emergence. Indeed, a number of ecological hypotheses have been posited as a possible determinant of dif- ferent pathogen MICs for macrophytes (e.g. ; ). These hypotheses emphasise the importance of bacterial commu- nities inter- doing with plant communities in an eco- system (). Microbe guilds and ORFs were co-distributed equally among the species of mixed AM with a majority of ruderal guilds remaining static (without macrophytes). It is possible that, despite the absence of arthropods and other arthropod-level pathogens with strong competitive distri- butions with AM fungal competitors, their presence could be deter- mined from pathogen abundance ( ;, ).</w:t>
      </w:r>
      <w:r>
        <w:rPr>
          <w:spacing w:val="-4"/>
        </w:rPr>
      </w:r>
      <w:r>
        <w:rPr/>
      </w:r>
    </w:p>
    <w:p>
      <w:pPr>
        <w:pStyle w:val="BodyText"/>
        <w:spacing w:before="10"/>
        <w:rPr>
          <w:sz w:val="17"/>
        </w:rPr>
      </w:pPr>
    </w:p>
    <w:p>
      <w:pPr>
        <w:pStyle w:val="Heading1"/>
      </w:pPr>
      <w:r>
        <w:rPr/>
        <w:t>Methods</w:t>
      </w:r>
    </w:p>
    <w:p>
      <w:pPr>
        <w:pStyle w:val="BodyText"/>
        <w:spacing w:before="3"/>
        <w:ind w:left="299" w:right="120"/>
        <w:jc w:val="both"/>
      </w:pPr>
      <w:r>
        <w:rPr>
          <w:b w:val="0"/>
          <w:i w:val="0"/>
          <w:u w:val="none"/>
        </w:rPr>
        <w:t xml:space="preserve"> It should be pointed out that AM fungi colonize freshwater systems through a number of metabolic pathways and possess a low MIC ( ; ). Although, our mixed-use data only indicated the presence of the AM fungi associated with M. vimineum, our background ﬁeld analyses revealed that plants were present that colonized this reef-like community but they occur- re- dently had a mix-species composition. The types of vascular plants present in taxonomic diversity in this taxa diversity signiﬁcantly overestimate alien arthropod assemblages and are possibly the proximate cause of low number of alien spe- cies found in the mixed ecosys- tem.</w:t>
      </w:r>
      <w:r>
        <w:rPr>
          <w:spacing w:val="-21"/>
        </w:rPr>
      </w:r>
      <w:r>
        <w:rPr/>
      </w:r>
    </w:p>
    <w:p>
      <w:pPr>
        <w:pStyle w:val="BodyText"/>
        <w:spacing w:before="10"/>
        <w:rPr>
          <w:sz w:val="17"/>
        </w:rPr>
      </w:pPr>
    </w:p>
    <w:p>
      <w:pPr>
        <w:pStyle w:val="Heading1"/>
      </w:pPr>
      <w:r>
        <w:rPr/>
        <w:t>Conclusions</w:t>
      </w:r>
    </w:p>
    <w:p>
      <w:pPr>
        <w:pStyle w:val="BodyText"/>
        <w:spacing w:before="3"/>
        <w:ind w:left="299" w:right="114"/>
        <w:jc w:val="both"/>
      </w:pPr>
      <w:r>
        <w:rPr>
          <w:b w:val="0"/>
          <w:i w:val="0"/>
          <w:u w:val="none"/>
        </w:rPr>
        <w:t>We believe that both macrophyte/ AM and eutrophic scheme design require efficient management practices to maximize potential impacts of invasive exotic plants on a wide range of ecosystem services, with signiﬁcant benefits for the facilitation of invasive and ectoparasitic plant communities, for ne- cessity enhancement within aquatic ecosystems, and for ecosystem ecosystem management of shallow water biotrophic waters at the study site. Implications for management of these ecoﬃ- systems are detailed in the following.</w:t>
      </w:r>
      <w:r>
        <w:rPr>
          <w:spacing w:val="-12"/>
        </w:rPr>
      </w:r>
      <w:r>
        <w:rPr/>
      </w:r>
    </w:p>
    <w:p>
      <w:pPr>
        <w:pStyle w:val="BodyText"/>
        <w:spacing w:before="1"/>
      </w:pPr>
    </w:p>
    <w:p>
      <w:pPr>
        <w:pStyle w:val="Heading4"/>
      </w:pPr>
      <w:r>
        <w:rPr/>
        <w:t xml:space="preserve"> * Corresponding</w:t>
      </w:r>
    </w:p>
    <w:p>
      <w:pPr>
        <w:pStyle w:val="BodyText"/>
        <w:spacing w:line="235" w:lineRule="auto" w:before="3"/>
        <w:ind w:left="299" w:right="115"/>
        <w:jc w:val="both"/>
        <w:rPr>
          <w:sz w:val="19"/>
        </w:rPr>
      </w:pPr>
      <w:r>
        <w:rPr>
          <w:b w:val="0"/>
          <w:i w:val="0"/>
          <w:u w:val="none"/>
        </w:rPr>
        <w:t>E-mail address: (F.J. Larochelle);</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E-mail address: (L.D. Barthes).</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Received 14 December 2019; Received in revised form 26 July 2020; Accepted 23 August 2020</w:t>
      </w:r>
      <w:r>
        <w:rPr>
          <w:sz w:val="18"/>
        </w:rPr>
      </w:r>
      <w:r>
        <w:rPr>
          <w:sz w:val="19"/>
        </w:rPr>
      </w:r>
      <w:r>
        <w:rPr>
          <w:sz w:val="18"/>
        </w:rPr>
      </w:r>
    </w:p>
    <w:p>
      <w:pPr>
        <w:spacing w:line="228" w:lineRule="auto" w:before="2"/>
        <w:ind w:left="299" w:right="115" w:firstLine="0"/>
        <w:jc w:val="both"/>
        <w:rPr>
          <w:sz w:val="18"/>
        </w:rPr>
      </w:pPr>
      <w:r>
        <w:rPr>
          <w:b w:val="0"/>
          <w:i w:val="0"/>
          <w:sz w:val="18"/>
          <w:u w:val="none"/>
        </w:rPr>
        <w:t>Availableonline06June2020</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0197-8173/©2020ElsevierB.V.Allrightsreserved.</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 xml:space="preserve"> Pathogens may reach the basaltic platform via a relatively natural route from terrestrial roots, whereby they are ingested by aquatic microorganisms and excreted</w:t>
      </w:r>
    </w:p>
    <w:p>
      <w:pPr>
        <w:pStyle w:val="BodyText"/>
        <w:spacing w:before="4"/>
        <w:rPr>
          <w:sz w:val="17"/>
        </w:rPr>
      </w:pPr>
    </w:p>
    <w:p>
      <w:pPr>
        <w:pStyle w:val="Heading4"/>
      </w:pPr>
      <w:r>
        <w:rPr/>
        <w:t>Acknowledgments</w:t>
      </w:r>
    </w:p>
    <w:p>
      <w:pPr>
        <w:pStyle w:val="BodyText"/>
        <w:ind w:left="299" w:right="116"/>
        <w:jc w:val="both"/>
      </w:pPr>
      <w:r>
        <w:rPr/>
        <w:t>This research was supported by Galveston County, TX &amp; Texas A&amp;M AgriLife Research &amp; Extension Center, J. A. McNally Residence (VOLCA-TCU).</w:t>
      </w:r>
    </w:p>
    <w:p>
      <w:pPr>
        <w:spacing w:line="228" w:lineRule="auto" w:before="0"/>
        <w:ind w:left="299" w:right="116" w:firstLine="0"/>
        <w:jc w:val="both"/>
        <w:rPr>
          <w:sz w:val="18"/>
        </w:rPr>
      </w:pPr>
      <w:r>
        <w:rPr>
          <w:b w:val="0"/>
          <w:i w:val="0"/>
          <w:sz w:val="18"/>
          <w:u w:val="none"/>
        </w:rPr>
        <w:t>This work was partially supported in part by the Engineering and Physical Sciences Research Council of Canada funded by the NEB through AIB013179 to L.D.B.S.; Galveston County, TX, Texas A&amp;M AgriLife Research &amp; Extension Center, J. A. McNally; and Texas A&amp;M AgriLife Research &amp; Extension Center, J. A. McNally for scientific advice, G.V.G. Simonyan &amp; A.A. Navarro for technical assistance, and C. Rodriguez for management of plants collected and strong- ness of structure.</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References Almeida-de-Santayana, A.D.M.L.; Casanova, C.R.; Coletti, M.L.; Le, J.D.; Ridgway, D.H. 2016. Absence of morphological and biogeochemical data on emergent macrophytes and their implications for invasible aquatic plants.</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 xml:space="preserve"> Abbreviations</w:t>
      </w:r>
    </w:p>
    <w:p>
      <w:pPr>
        <w:spacing w:line="230" w:lineRule="auto" w:before="8"/>
        <w:ind w:left="299" w:right="114" w:firstLine="0"/>
        <w:jc w:val="both"/>
        <w:rPr>
          <w:sz w:val="18"/>
        </w:rPr>
      </w:pPr>
      <w:r>
        <w:rPr>
          <w:b w:val="0"/>
          <w:i w:val="0"/>
          <w:sz w:val="18"/>
          <w:u w:val="none"/>
        </w:rPr>
        <w:t>A Total dissolved solute P (TDSP), dissolved oxygen (DO), macromolecular weight (MW), total nitrogen (N), total phosphorus (TP), total sulfur (TS), total pectate hydrolysis (TPH), total dissolved phosphate (DLP), total immobilized phosphate (TIP), hemicellulose (HC), ammonium chloride (AC), cadmium (Ca), lead (Pb), zinc (Zn), cadmium (Zn), Se, nickel (Ni), brominated biphenyls (PBDEs), diazolidinyl urea (DBDPE), iron (Fe), aluminum (Al), aluminum platyphytes (AP), niobium (Ni), nickel (Ni), sulfur (S), calcium (Ca), manganese (Mn), aluminum sulfate (Al), carotenoid (Cad), thiodical chromium (Tr), sulfur bromide (Th), boron (B), thiobetabolu- lite (TB), niobate (Ni), and lead (Pb).</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References</w:t>
      </w:r>
    </w:p>
    <w:p>
      <w:pPr>
        <w:spacing w:line="230" w:lineRule="auto" w:before="2"/>
        <w:ind w:left="299" w:right="116" w:firstLine="0"/>
        <w:jc w:val="both"/>
        <w:rPr>
          <w:sz w:val="18"/>
        </w:rPr>
      </w:pPr>
      <w:r>
        <w:rPr>
          <w:b w:val="0"/>
          <w:i w:val="0"/>
          <w:sz w:val="18"/>
          <w:u w:val="none"/>
        </w:rPr>
        <w:t>Osorio De, E.; Abrantes, A.; Guimarães Junior, U.; Ferreira, F.; Herna´ndez Junior, K.; Pires Junior, R.G.; Comin/Saura Junior, A. 2020. 2015. Growth and root functional diversity of submerged emergent macrophytes (Orosanga japonica): phytoremediation</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 xml:space="preserve"> adds positive impacts on plant nutrient supply and biodiversity patterns in a Rio Grande do Sul estuary, Brazil.</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Balestrier, A.F.; de Haan, W.B. 2012. Submersed macrophytes species: features, limitations and paradigms to a better understanding of their status of the aquatic envi- ronments. Ph.D. Thesis The Norwegian University of Science and Technology, Tromsø.</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 xml:space="preserve"> Borger, I.; Pommerecht, J.A.; Westermann, A.; Ozturk-Narcissek, C.; Rumelhart, D. 2016. Conclusions from the study of vegeta- tive assemblages along a remote river.</w:t>
      </w:r>
      <w:r>
        <w:rPr>
          <w:sz w:val="19"/>
        </w:rPr>
      </w:r>
      <w:r>
        <w:rPr>
          <w:sz w:val="18"/>
        </w:rPr>
      </w:r>
      <w:r>
        <w:rPr>
          <w:spacing w:val="39"/>
          <w:sz w:val="18"/>
        </w:rPr>
      </w:r>
      <w:r>
        <w:rPr>
          <w:sz w:val="18"/>
        </w:rPr>
      </w:r>
    </w:p>
    <w:p>
      <w:pPr>
        <w:pStyle w:val="Heading3"/>
        <w:spacing w:line="217" w:lineRule="exact"/>
        <w:rPr>
          <w:sz w:val="18"/>
        </w:rPr>
      </w:pPr>
      <w:r>
        <w:rPr>
          <w:b w:val="0"/>
          <w:i w:val="0"/>
          <w:u w:val="none"/>
        </w:rPr>
        <w:t xml:space="preserve"> Sigg , S.A. 2004 .</w:t>
      </w:r>
      <w:r>
        <w:rPr>
          <w:sz w:val="18"/>
        </w:rPr>
      </w:r>
    </w:p>
    <w:p>
      <w:pPr>
        <w:pStyle w:val="BodyText"/>
        <w:spacing w:before="10"/>
        <w:rPr>
          <w:sz w:val="17"/>
        </w:rPr>
      </w:pPr>
    </w:p>
    <w:p>
      <w:pPr>
        <w:pStyle w:val="Heading4"/>
      </w:pPr>
      <w:r>
        <w:rPr/>
        <w:t>M.V.; Közlin,</w:t>
      </w:r>
    </w:p>
    <w:p>
      <w:pPr>
        <w:pStyle w:val="BodyText"/>
        <w:spacing w:line="235" w:lineRule="auto" w:before="3"/>
        <w:ind w:left="299" w:right="115"/>
        <w:jc w:val="both"/>
      </w:pPr>
      <w:r>
        <w:rPr>
          <w:b w:val="0"/>
          <w:i w:val="0"/>
          <w:u w:val="none"/>
        </w:rPr>
        <w:t>W.; von Raab-Straube, P.; Rehm, J.F. (Eds.). Peter Lang Publishing Ltd., Stroud.</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Tannins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Schmidt, J.E.; Fitchette, M.M.; Bertsch, N.N. 2003. Intraspecific variation in averaged water temperature as a drivers of lake depth and water quality.</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Ecological Applications 12, 1633–1644.</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 xml:space="preserve"> Seifert , E. ; Boutin , F. ;</w:t>
      </w:r>
      <w:r>
        <w:rPr>
          <w:rFonts w:ascii="Arial"/>
          <w:i/>
          <w:spacing w:val="-5"/>
          <w:sz w:val="18"/>
        </w:rPr>
      </w:r>
      <w:r>
        <w:rPr>
          <w:rFonts w:ascii="Arial"/>
          <w:i/>
          <w:sz w:val="18"/>
        </w:rPr>
      </w:r>
      <w:r>
        <w:rPr>
          <w:rFonts w:ascii="Times New Roman"/>
          <w:i/>
          <w:sz w:val="22"/>
        </w:rPr>
      </w:r>
    </w:p>
    <w:p>
      <w:pPr>
        <w:pStyle w:val="Heading4"/>
        <w:spacing w:line="212" w:lineRule="exact" w:before="123"/>
      </w:pPr>
      <w:r>
        <w:rPr/>
        <w:t xml:space="preserve"> L. ; Leadbeater</w:t>
      </w:r>
    </w:p>
    <w:p>
      <w:pPr>
        <w:spacing w:line="228" w:lineRule="auto" w:before="4"/>
        <w:ind w:left="299" w:right="118" w:firstLine="0"/>
        <w:jc w:val="both"/>
        <w:rPr>
          <w:sz w:val="18"/>
        </w:rPr>
      </w:pPr>
      <w:r>
        <w:rPr>
          <w:b w:val="0"/>
          <w:i w:val="0"/>
          <w:sz w:val="18"/>
          <w:u w:val="none"/>
        </w:rPr>
        <w:t>Ecology 69, 475–483.</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 xml:space="preserve"> Bünzli , L.B. ;</w:t>
      </w:r>
    </w:p>
    <w:p>
      <w:pPr>
        <w:spacing w:line="230" w:lineRule="auto" w:before="8"/>
        <w:ind w:left="299" w:right="119" w:firstLine="0"/>
        <w:jc w:val="both"/>
        <w:rPr>
          <w:sz w:val="18"/>
        </w:rPr>
      </w:pPr>
      <w:r>
        <w:rPr>
          <w:b w:val="0"/>
          <w:i w:val="0"/>
          <w:sz w:val="18"/>
          <w:u w:val="none"/>
        </w:rPr>
        <w:t>Deciphering agricultural local-induced change.</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Table 1</w:t>
      </w:r>
    </w:p>
    <w:p>
      <w:pPr>
        <w:pStyle w:val="BodyText"/>
        <w:spacing w:before="3"/>
        <w:ind w:left="299" w:right="124"/>
        <w:jc w:val="both"/>
      </w:pPr>
      <w:r>
        <w:rPr/>
        <w:t>Environmental variables related with functional inﬂuences of physicochemical safety requirements of macrophytes (Oncorhynchus megaterium, Coix and Scirpus patens, Parariophyllum obscureum and Syzygium pinnifolium L.).</w:t>
      </w:r>
    </w:p>
    <w:p>
      <w:pPr>
        <w:pStyle w:val="BodyText"/>
        <w:spacing w:before="8"/>
        <w:rPr>
          <w:sz w:val="17"/>
        </w:rPr>
      </w:pPr>
    </w:p>
    <w:p>
      <w:pPr>
        <w:pStyle w:val="Heading1"/>
        <w:spacing w:before="1"/>
      </w:pPr>
      <w:r>
        <w:rPr/>
        <w:t xml:space="preserve"> Endirolium</w:t>
      </w:r>
    </w:p>
    <w:p>
      <w:pPr>
        <w:pStyle w:val="BodyText"/>
        <w:spacing w:before="3"/>
        <w:ind w:left="299"/>
      </w:pPr>
      <w:r>
        <w:rPr/>
        <w:t xml:space="preserve"> Key words: oncorhynchos, physicochemical safety requirements of macrophytes, aquarium, phosphorus</w:t>
      </w:r>
    </w:p>
    <w:p>
      <w:pPr>
        <w:pStyle w:val="BodyText"/>
        <w:spacing w:before="1"/>
        <w:ind w:left="299" w:right="2859"/>
      </w:pPr>
      <w:r>
        <w:rPr/>
        <w:t>Bettmann, M.T.; Stabile, K.A. 1997. The hydrological physico-chemical character of deoxygenation. Ecology 88, 714–723.</w:t>
      </w:r>
    </w:p>
    <w:p>
      <w:pPr>
        <w:pStyle w:val="BodyText"/>
        <w:ind w:left="299" w:right="115"/>
      </w:pPr>
      <w:r>
        <w:rPr/>
        <w:t>Boys, J.T.; Gubler, M.A. 2015. Oligoflouroside Silene excelsa: a new boundary plant demanding more attention.</w:t>
      </w:r>
    </w:p>
    <w:p>
      <w:pPr>
        <w:pStyle w:val="BodyText"/>
        <w:ind w:left="299" w:right="129"/>
      </w:pPr>
      <w:r>
        <w:rPr>
          <w:b w:val="0"/>
          <w:i w:val="0"/>
          <w:u w:val="none"/>
        </w:rPr>
        <w:t>Ecology 133, 2654–2660.</w:t>
      </w:r>
      <w:r>
        <w:rPr>
          <w:spacing w:val="-2"/>
        </w:rPr>
      </w:r>
      <w:r>
        <w:rPr/>
      </w:r>
    </w:p>
    <w:p>
      <w:pPr>
        <w:pStyle w:val="BodyText"/>
        <w:spacing w:line="217" w:lineRule="exact"/>
        <w:ind w:left="299"/>
      </w:pPr>
      <w:r>
        <w:rPr/>
        <w:t>Cavieres, J.; Veiga-Garcia, N.; Colwell, N.; Valdivia, I.D.; Kreft,</w:t>
      </w:r>
    </w:p>
    <w:p>
      <w:pPr>
        <w:pStyle w:val="BodyText"/>
        <w:ind w:left="299" w:right="115"/>
      </w:pPr>
      <w:r>
        <w:rPr/>
        <w:t>A.C.; Jimenez, A.R.; Garriott, J.M.; Isbell, B.; Mathews, R.E.; Cornwell, D.S.; Guelph, L. 2015. Water hyacinth dynamics and ecological consequences of emergent water hyacinth, Macrophyllum lanceolata. Freshwater Biology 23, 499–517.</w:t>
      </w:r>
    </w:p>
    <w:p>
      <w:pPr>
        <w:pStyle w:val="BodyText"/>
        <w:spacing w:before="1"/>
        <w:ind w:left="299"/>
      </w:pPr>
      <w:r>
        <w:rPr/>
        <w:t xml:space="preserve"> Calva, C.F.; Gliagobbo, G.S.; Branquinho, S.R.; Giday, P.E.; Azevedo, P.D.; Savoia, A.S.; Mafra, T. 2015. Livestock water and drying management in the Rio Grande do Sul State (Brazil).</w:t>
      </w:r>
    </w:p>
    <w:p>
      <w:pPr>
        <w:pStyle w:val="BodyText"/>
        <w:spacing w:line="217" w:lineRule="exact"/>
        <w:ind w:left="299"/>
      </w:pPr>
      <w:r>
        <w:rPr/>
        <w:t xml:space="preserve"> Cavieres, J.S.; Romero-Palacios, J.L.; Oliveira, A.; Fernandez- Silva-de-Reis, D.R.C.; Costa, J.A.J.;</w:t>
      </w:r>
    </w:p>
    <w:p>
      <w:pPr>
        <w:pStyle w:val="BodyText"/>
        <w:ind w:left="299" w:right="609"/>
      </w:pPr>
      <w:r>
        <w:rPr/>
        <w:t>G.M.A.; Torres-Pablo, M.A. 2015. Water hyacinth dynamics in nutrient-rich shallow lakes in the Rio Grande Do Sul State (Uruguay). Science 317, S487–S489. doi:</w:t>
      </w:r>
    </w:p>
    <w:p>
      <w:pPr>
        <w:pStyle w:val="BodyText"/>
        <w:ind w:left="299" w:right="115"/>
      </w:pPr>
      <w:r>
        <w:rPr/>
        <w:t xml:space="preserve"> Choupe, A.M.; Convey, M.L.; Jacot, S.; Luo, S.; Pollard, N.; Mendola, C.; Shunta, R.D. 2013. Defining edge zones for aquatic ecosystem services.</w:t>
      </w:r>
    </w:p>
    <w:p>
      <w:pPr>
        <w:pStyle w:val="BodyText"/>
        <w:ind w:left="299"/>
      </w:pPr>
      <w:r>
        <w:rPr/>
        <w:t xml:space="preserve"> Cheek, P.C.; D'Angelo, S.G.; Niku, O.I.G.; Oliveira-Machado, J.S.A.2016.</w:t>
      </w:r>
    </w:p>
    <w:p>
      <w:pPr>
        <w:pStyle w:val="BodyText"/>
        <w:ind w:left="299"/>
      </w:pPr>
      <w:r>
        <w:rPr/>
        <w:t>euaflora, genus, and species collections: progress in the southeastern United States since 1894. Aquatic Botany 73, 2935–2943. doi:</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Citation:</w:t>
      </w:r>
    </w:p>
    <w:p>
      <w:pPr>
        <w:spacing w:line="187" w:lineRule="exact" w:before="0"/>
        <w:ind w:left="299" w:right="0" w:firstLine="0"/>
        <w:jc w:val="left"/>
        <w:rPr>
          <w:sz w:val="16"/>
        </w:rPr>
      </w:pPr>
      <w:r>
        <w:rPr>
          <w:sz w:val="16"/>
        </w:rPr>
        <w:t xml:space="preserve"> Chen, J.L.; Cantin, J.M.; Moutau, N.; Mukhopadhyay, A.E.; Brown, D.J.; Veiler, M.E. 2014. Latitudinal, surface and subsurface responses to drying impact on the urban aquatic system in Madison, Wisconsin.</w:t>
      </w:r>
    </w:p>
    <w:p>
      <w:pPr>
        <w:spacing w:line="199" w:lineRule="exact" w:before="0"/>
        <w:ind w:left="299" w:right="0" w:firstLine="0"/>
        <w:jc w:val="left"/>
        <w:rPr>
          <w:sz w:val="16"/>
        </w:rPr>
      </w:pPr>
      <w:r>
        <w:rPr>
          <w:b w:val="0"/>
          <w:i w:val="0"/>
          <w:sz w:val="17"/>
          <w:u w:val="none"/>
        </w:rPr>
        <w:t xml:space="preserve"> Chen , D.G. ; Vittinghoff , L.M. ; Pereira</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D.O. 2016. What is a shoreline fishery? A 5-year observation of inland and coastal freshwater fish breeding.</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Corte-Cerruti, R.S.; Ortiz-</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Cañero</dc:creator>
  <dc:title> Day , T.H. ; Szabo , K.G.M. ; Flory , H. 2015 .</dc:title>
  <dcterms:created xsi:type="dcterms:W3CDTF">2020-12-09T15:13:52Z</dcterms:created>
  <dcterms:modified xsi:type="dcterms:W3CDTF">2020-12-09T15:13:52Z</dcterms:modified>
  <cp:category/>
  <dc:description/>
  <cp:contentStatus/>
  <dc:identifier/>
  <cp:keywords/>
  <dc:language/>
  <cp:lastModifiedBy/>
  <dc:subject/>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