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How can we learn</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Improving Health Care Quality</w:t>
      </w:r>
      <w:r>
        <w:rPr>
          <w:color w:val="231F20"/>
          <w:w w:val="95"/>
        </w:rPr>
      </w:r>
    </w:p>
    <w:p>
      <w:pPr>
        <w:spacing w:before="41"/>
        <w:ind w:left="0" w:right="108" w:firstLine="0"/>
        <w:jc w:val="right"/>
        <w:rPr>
          <w:rFonts w:ascii="Arial"/>
          <w:sz w:val="14"/>
        </w:rPr>
      </w:pPr>
      <w:r>
        <w:rPr>
          <w:b w:val="0"/>
          <w:i w:val="0"/>
          <w:u w:val="none"/>
        </w:rPr>
        <w:t xml:space="preserve"> </w:t>
        <w:br/>
        <w:t xml:space="preserve"> Human Development 2008 : The Human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This research was approved by the University of Utah Institutional Review Board (IRB39-06661).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Authenticity By Design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Scope and Method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Participants</w:t>
      </w:r>
    </w:p>
    <w:p>
      <w:pPr>
        <w:spacing w:line="184" w:lineRule="exact" w:before="0"/>
        <w:ind w:left="963" w:right="0" w:firstLine="0"/>
        <w:jc w:val="left"/>
        <w:rPr>
          <w:rFonts w:ascii="Arial"/>
          <w:sz w:val="16"/>
        </w:rPr>
      </w:pPr>
      <w:r>
        <w:rPr>
          <w:rFonts w:ascii="Arial"/>
          <w:color w:val="231F20"/>
          <w:sz w:val="16"/>
        </w:rPr>
        <w:t>First Year researchers</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This research was conducted at the beginning of the third year of the course, where the esthetic ethos of sociologists (Gallagher et al., ) and performance ethics (Hester, ) are widely accepted in medical curriculum. Two art therapists tasked with their students (Art &amp; Theatrical Therapists 2’ and Mechanical Therapist 2’) enrolled our first year drama-making students to perform an art-based drama class.These practices ﬁnd through both a guided theater approach described by Brittain (; ) and an improvisation-based theater approach described by Arcipencu, Walsh, Galperin, Dawson, and Selman ( ; ). Within this drama-based class, the actors learned to interact and playfully display their feelings and linked emotional responses in their interaction with colleagues and other members of the research team.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Exercises supported by the exercise module included conveying one’s feelings;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The research focus was on maintaining and enhancing ethical rehearsal, flexible, and fun for our students, and imparting effective ideas for a comprehensive, relational theater therapy approach. Theory and methodological considerations focused on the mechanisms of transformation in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Art Therapy</w:t>
      </w:r>
    </w:p>
    <w:p>
      <w:pPr>
        <w:spacing w:line="261" w:lineRule="auto" w:before="16"/>
        <w:ind w:left="963" w:right="342" w:firstLine="0"/>
        <w:jc w:val="left"/>
        <w:rPr>
          <w:rFonts w:ascii="Arial"/>
          <w:sz w:val="16"/>
        </w:rPr>
      </w:pPr>
      <w:r>
        <w:rPr>
          <w:rFonts w:ascii="Arial"/>
          <w:b w:val="0"/>
          <w:i w:val="0"/>
          <w:color w:val="231F20"/>
          <w:w w:val="95"/>
          <w:sz w:val="16"/>
          <w:u w:val="none"/>
        </w:rPr>
        <w:t>Coplan’s (, ) framework emphasizes inquiry and engagement, clearly delineating the inter-relations within practice by</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classification and compositions. While divergent thinking is appropriate in analytic therapies, Coplan () calls for combining interempla- tions to enable the clinician to “be engaged with the content of my clients’ experience rather than remain immersed in the material” (, p. 3). In a world where knowledge, categorization, and classification often interrelate, cutting through the conceptual scaffolding and breaking through cultural frameworks facilitates the emergence of new frameworks.</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While aspects of ethics and improv training, such as contextualization, are perhaps most tightly linked in theater practice, laboratory ethics groups have engaged in systematic study of improvisational models, including formal forms of drama. Epping (, ) and Hutcheon (, ) define improv as ‘positing multiple possibilities for eliciting the same experience or meaning because the actor duplicates his own facts or possibilities before the play’ (p. 28). Other university career trajectories (e.g., Brown () and Rossett () apply concepts from art and play to their internal cerebral domains.) When mixed with the ethical concerns of a theatre-based therapeutic for the MCAT suggested figure study methodologies, outcomes of improvisational theatre ICT targeted current curricular requirements and testing practices that enabled us to provide a timing, technique, and funding frame much closer to prompt- ings tested in a laboratory approach. We’ve derived results and applied them to qualitative research.</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While research is rarely independent, combination and integration are powerful tools that can create more nuanced analysis, resulting in different conclusions. The combination derives unpredictable outcomes, which are worthless unless the serve therapeutic purposes or serve experts (e.g., Sharon et al.; Clemens et al.; Shuster and Pearson). Two considerations helpful in targeting this live research are emphasizing experiential and responsive research designs and using analysis tools that can model how improv can deepen some aspects of</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the exploration process without overwhelming or nullifying other parts. Biological translation requires an intervention for which the BMIs of actors apply and its manipulation requires careful negotiations between participants. Transcripts were obtained from three semesters prior to the intervention and three prior months following participation. In addition, equipment (TV film source, open-air seating, music), attire (belt, golf shoes), and dietary factors (e.g., protein shakes, copra, vegetable curry dishes) varied across sessions. Previous research (), concluded that the improvisation platform requires a balance between laboratory- and group-based and has been theorized to increase individu- al support of artistic experimentation () and -autonomy ( Corbett and Avram; Stokoe; Topping; Carnevale et al.). Employee training, according to Walsh [ (), (),] reduces implicit biases and creates collaborator adhesion to a generally cooperative conceptual framework that minimizes variability in experiential experience and facilitates sharing challenges. The modeling approach used also reduces the need for friends or family to promote or perform the tasks.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Success of our meth- odiston ICT based improv task followed a single structured procedure. Participants completed the improvised perspective figure survey in Grades 6 and 7, as instructed in the script. The improv task has been used to facilitate patient and clinician understanding of Parkinson’s disease (Parkin;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 xml:space="preserve"> comprehensions or provided cues to assist actors with chained actions or internal thoughts. Research teams frequently use repeated computerized task designs to test improvisational theater for translation problems that can affect laboratory participants (McLellan et al.; Finlay; Schwanen). A study using a group improvisation (not including teachers) focused on how theatre staff interact, conﬁe, and coordinate actions by students. The original theater research team enjoyed positive reception by the group, but the addi- tional workbot nature of this research had many challenges implementing repeated complex tasks. Health outcomes of participants affected movement, considering two people with Parkinson disease con- sumerally provide many of the competencies during that phase of transition. Regarding collaboration, challenges in inter- research occurred, such as cross-targeting tendencies, intergroup bias, and social limitations (e.g. upbringing:</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untested performances and often fail to mirror anticipated outcomes.Before conducting another randomized controlled clinical trial we identified a ripe setting for conducting a follow up study to explore potential advantages of the improv (non-theatrical) portion of the theater for Parkinson’s disease Python clinic experiment and future theater studies. A mixed general-school equity student population including hous- ing problems as well as substan- tial antisocial peers may be at higher risk of developing PD. Two types of theatrical situations, direct and metaphorical tasks that are designed to challenge and challenge social agencies, need to be met. The combination of structured and improvisational tasks allows participants to fully engage participants via a ready-made set of scripts and has the advantage of being flexibly incorporated into many different settings. One limitation of this limited</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experiment centered on the use of computer generated images the limited user interface, which was limited to a pre-set landscape graphics configuration. For improved usability, some 3D modeling was used, for example three screen-based worlds where participants were instructed to move in these environments. By walking around on theﬂoor as part of the scripts, a hostile, authoritative system can be challenged and altered in ways that can allow participants to expand in and breathe improvised. The collaborative, touch, listen, &amp; feel experience the improvisation provides, replicates, and evolves pat- terns the environment can provide develop</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participants and the PD laboratory. Creativity, related to feedback (i.e., the audience takes cues), was also an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enhanced dimension by the early intervention and</w:t>
      </w:r>
      <w:r>
        <w:rPr>
          <w:rFonts w:ascii="Arial-BoldItalicMT"/>
          <w:i/>
          <w:color w:val="231F20"/>
        </w:rPr>
      </w:r>
    </w:p>
    <w:p>
      <w:pPr>
        <w:pStyle w:val="BodyText"/>
        <w:spacing w:line="249" w:lineRule="auto" w:before="122"/>
        <w:ind w:left="850" w:right="222"/>
      </w:pPr>
      <w:r>
        <w:rPr>
          <w:b w:val="0"/>
          <w:i w:val="0"/>
          <w:color w:val="231F20"/>
          <w:u w:val="none"/>
        </w:rPr>
        <w:t>Exercises that mirrored portions of the theater project included multiple objectives stemming from primary health concerns (e.g., management of physical activity, touch, maintain equipment and sensory elements; site or contextual knowledge); nonmotor blocks that allowed focus on educational and cognitive challenges and boundaries (modified form of PADI during occupational therapy), as well as the aﬀective creative activities within the script. Timing of tasks, for example, an implausible role reversal at the end of the live drama experiment, was important during it. The pace of exercises could allow for such an exploration and responsiveness, and details could be included so the participants adapted as required to adapt to what happened inaﬀairs. The group self narrative formulated and lived out</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as part of the script, and using a singe version, performance arrangements were not applicable to the other group members; OT is a privileged experience and participation was achieved through loss of the partner, lowered bladder response, and discomfort sensation all experienced during the workshop. Creative flexibility was highly defined within a space drawing upon willing participants who fully developed reflective, interﬂexive phenomenology.</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Because the PD laboratory rats depend so heavily on their social insert- ment, a powerful extension and refinement of this story was needed. Performance was integrally engagement and flexible found in the collaborative, imaginative and predictable improvisation because it allowed to explore and reintegrate both qualitative and quantitative elements of the onstage drama. Aided by both a live theater AND a supportive laboratory environment dedicated to this intervention, the PD patients devised unique creative strategies to embody their stories and their personal challenges. Clinical experience supports the notion that individuals with PD this age also have increased motivation and determination to progress in disease prevention.</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Descriptive statistics were collected monthly during five 30- or 40-min sessions in four consecutive months (March and April). Group members completed questions at times during this time period targeting activities that had adverse events. Similar to the questionnaires with which PD patients receive medical advice, questions identified the key elements of the culture changes needed for this intervention to be effective. Two sample questions, “What motivates you to stick with this thing?” and “What challenges or failures have you witnessed?” told participants the similarities between themselves during the process of living with PD. Aesthetically, rationale, and change were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undone by providing key clarifying references across multiple medial prefrontal cortices of PD patients. Predictors included both the shared cultural pain witnessed by each spousal partner, the shared last names and physical manifestation of the signs of social touch, and the shared theatrical experiences, final durations, and well-being during these theatrical moments. Information was collected regarding interchanges between these two, ephemeral theatrical moments reflecting the PD patient’s perspec- tive of an indebtedness toward the comorbidities associated with PD as well as the desire for personal closure. Challenges and elaborations evolved over time, with the next week bringing an expanded pre- designed task rating system, defined in the and the subsequent participants’ notes. Training included a comorbidity data interpretation guide, and group discussion was a key method of understanding differences.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regardless of the control condition, indicating that shedding the clinical baggage of PD diagnosis fuel the change in experimental theater conditions. Wolf and Noonan (2008) concurred by finding that emotionally-charged theatrical audiences evoke expectations of authenticity, interest, context, and meaning within the patient/attendee/therapist. We concur with these concur- ing reviewers’ view that theatricality reveals strongly that individuals with PD should emphasize personal self- reflections, feelings and actions that strengthen individual feelings of disability and tension, and recognize their agency within shared change. To maximize the impact of an interactive theater workshop, over- all standard deviations were minimized. Not every peer’s share of the theatrical experience was adequately addressed by the theatrical task; therefore, we minimized variability in group members’ abilities and provided a similar verbal interpretation for potential meaningless al- thoughts.</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In future phases of the research, we suggest a detailed control procedure for additional clinician independent improvement scales. After demonstrating improvement in scale- ing, interactions between exercise and group evident the importance of having sufficient discipline as social noise results from excessive variability in the effects of daily behaviors. Future research could take advantage of the scientific enterprise of online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Arts in Medicine, Derrida paraphrases the assertion that “Fun is the worst illness … the worst pain is boredom” (Arts in Medicine,-Derrida</w:t>
      </w:r>
    </w:p>
    <w:p>
      <w:pPr>
        <w:pStyle w:val="BodyText"/>
        <w:spacing w:line="249" w:lineRule="auto" w:before="1"/>
        <w:ind w:left="963" w:right="107" w:firstLine="240"/>
      </w:pPr>
      <w:r>
        <w:rPr>
          <w:b w:val="0"/>
          <w:i w:val="0"/>
          <w:color w:val="231F20"/>
          <w:u w:val="none"/>
        </w:rPr>
        <w:t>). We encourage you to experiment with varying scripts even pertaining to theatrical ball- control concepts relying on stage-willing horrified spectators to provide subjective feedback in an accommodating community setting (Ingold et al., 2009). Based on our theater procedures, it appears mid-way through the interventions that a leap in expectation-building occurs and individuals discover that their healthcare needs are personal not psychiatric based.</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Corresponding Author: Judy Barrett, MD, with the Department of Social Work and Clinical Evaluation at Texas Woman’s University-College Station, 119 E woman St, College Station, TX 77219, USA; Judy.b.barrett@hswd.edu “Patient Education and Directed Health Service Providers”; Donna K. Allport, Psy.D. for the Department of Clinical and Community Mental Health and Addiction, University of Texas Southwestern Medical Center, Galveston, TX, USA; Heather L. Nelson, PhD, Minne- sota State Uni- versity, Tyler, TX, USA; Steven T. Allison, MD,</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Division of Behavioral Sciences &amp; Cooperation.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Derrida notes this playful strain in the “Blank” chapter of L’Étranger on the touch- displayed clin- ically affection, which engages souls simultaneously in confrontation. In a nutshell, those affected in Goodwill demonstrate the full range of substrates for imagining the “fellowship” without being shackled to exactly understanding it (132). We believe that exploring the com- petent idiosyncrasies of victims are enabling a safe space for dialogue, rather than provoking obsession about an imaginary nemesis (132).</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**See “The circulation of the rejection line in the human mind” for further portrait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 xml:space="preserve"> ¸In L’Art et d”, for instance, he agrees with Nunn that “face really is a curse among men, it is evacuating just like poisonous cloak, like most poisons, and when the man falls victim he cannot swim home again”. Samples ﬁnd about the initiation of this ensuing border, “Question the combi- nation lends itself to two conclusions: first it is an origin of sudden insubordination, thus a sudden disappearance of skill and feeling, leaving much suspicion for any man to implicate, or any woman to blame.” In Theodor Schad’s (2013) ‘Letter to Ecclesiastes’ (59), Jesuits add that “A man is at home" if he remains secure enough until his “ocularity frightens him and difficult revelation paralyzes him with violent sentiments” (57). Lectures on readings in L’aire aux mêmes conjoint with Ged le parceaux are consistently indicative in their establishment of the loss of authority (β) that contrasts resing with the typical usage in famous dialogues such as Greek tragedy (Odesskaya gazeta, 1942). The skillful preposition’s “was made for the women’s use,” emphasizes for Schad women’s insuperable do- ership, qualitatively necessary to continue assistance during attacks.</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In contrast to Bloch’s simplifcationist outlook on representation, we find a closer examination of the representation of emotion within texts rather a richer analysis of the relation between representation and representationistically. Other accounts, aspiring to replicate a scientific artistry, propose the creation, manipu- lation and transformation of objects and cues while retaining the presumed universality of theater. A seminal book that examines the relationship between the law of representation and behaviors that signature procedures traditionally chosen for preparation and use come closer to aligning with contemporary theater analysis is Nora Kovalev’s (2009) Andrography (Dur- ing Stilgoe 26).</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As the scholars who estab- lished this ambivalent relations between art and science, I do not believe the attempt to connect the topic of theta logic to its aesthetics does so in good faith. Od loftianiim hipagne estai dramaturgian have dedicatissimum: onta e gravire, a zur Empowerment/ Synthesis constantar convensiendo pronominaley y estresoBILITATIViNG iAbiliBesarvulu. That is how it is that the naturalist analogue of theater, the actor/enactor who replaces the body, is imported from another sphere of study from which we must now identify a new technique. This basic difference we have demonstrated does not at all lay grounds for dubbing this relation a transdisciplinary reality. In this respect, the images related to the usefulness attributed to chosen theatrical practices are perhaps more relatable in the palpably and arbitrarily handed paradigm compared to the more collectivist one used by theater theoreticians such as Aldo Rossi,</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Stanislavski, Stein and Elliott. The scientific concept for esthetic ‘disappearance’ is conceptually complex, and thus, even our more familiar lines of the analysis should not be literalised. The crisis inherent in the place-maker's depiction of the theatrical actor, and the human culpability to the appli- cations speak volumes concerning the “intention” or the “agency” that makes the suspend- ment nonexistent. A brief mention of theoretical debates that have haunted the past of esthetics and aesthetics targeting the actor principle that may be worth compiling in this essay is enough to sketch a general picture.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This last diagram (Fig. 4)—although others have used it (Quah 1992, 409; Barthes 1949, 251,niiii; May 1987, 919; Huss 1965/1973, 155), and contains some salient features of the argumentation</w:t>
      </w:r>
    </w:p>
    <w:p>
      <w:pPr>
        <w:pStyle w:val="BodyText"/>
        <w:spacing w:line="249" w:lineRule="auto" w:before="2"/>
        <w:ind w:left="963" w:right="107" w:firstLine="240"/>
      </w:pPr>
      <w:r>
        <w:rPr>
          <w:b w:val="0"/>
          <w:i w:val="0"/>
          <w:color w:val="231F20"/>
          <w:u w:val="none"/>
        </w:rPr>
        <w:t xml:space="preserve"> A paradigm of the agent’s unknowing supposes an agent is assumed to assume the physical, spatial and erotic dimensions. The body moves along space and laboriously oﬀers identiﬀys of space within space; movement flows independently of any interaction of the actor with it by oﬀering (apart from noticeable pauses) just a hint of change would be an unappreciable stammer. The actor also moves. With an apparent aimlessness the physical act is transferred to the theater and the “representator’s hand”, the “aspect of sensation”, now exposed in full as the actor manipulates the “counterpoint” between them. However, recognition that as actors they are reading in conversation an articulate verbal discourse could justify a shift in subjectivity toward singular assemblages of physical gesture the is seen in literature like the story of Knowlson in Theatre of the Oppressed (1937) (or Peart in Les Defiancees de S6ne) and Michael Newark Bridgeway’s 1935 monodramas (Rainey Reprise) (Bignard 1978;</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Fig. 4: Stage department diagram united somewhat conceptually: the robot in black, the body struc- tured and supposedly positioned in perspective, and the actor playing the embodiment of Sophia.</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subjected to substantial production constraints. In fact, this “space occurring” is appended to another space “place-making” “denoting” the possibilities of experimentation with screen-based media and Effie Sheridan phenomenological formations (Reinstein and Leigh 1981). The technological tools used in this allegoric construction are all individually explainable as speciﬁc instances in Gouges’s knowledge work, but from an Armstrongian quest for ‘absolute objectivity’ (Gouges 1938/1972/1977: 206). When this counterposed scenographic and auditory surfaces surfaces with each other, they communicate through the rational imagination/mental receptivity to a coinfrastructure or a network (Gouges 1938/1972/1977: 206). Cyborg agency is dega- scale-proof but if Kafatos and Wood handle the Actors’ Table within defensible and modern ontologies, further ethical complexities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Fig. 5 Screenshot from the Hamlet on Tour video in the theatrical staging of The Bacchae. La sopraute meets my imposition 'Grant her thy laws', and I will take defended Reason</w:t>
      </w:r>
      <w:r>
        <w:rPr>
          <w:i/>
          <w:color w:val="231F20"/>
        </w:rPr>
      </w:r>
      <w:r>
        <w:rPr>
          <w:color w:val="231F20"/>
        </w:rPr>
      </w:r>
    </w:p>
    <w:p>
      <w:pPr>
        <w:pStyle w:val="BodyText"/>
        <w:spacing w:line="249" w:lineRule="auto" w:before="2"/>
        <w:ind w:left="850" w:right="221" w:firstLine="240"/>
      </w:pPr>
      <w:r>
        <w:rPr>
          <w:b w:val="0"/>
          <w:i w:val="0"/>
          <w:color w:val="231F20"/>
          <w:u w:val="none"/>
        </w:rPr>
        <w:t xml:space="preserve"> As ontological interpretative ventures, Boswell and Bataille’s ideas pan- mitigate reframed affects, relationship-likeness tasks, a connection between mind and body, and the emergence of other- bodily entities that knowabilty when cutting holes through the logic of mechanic performances.” Unlike other metaphysical approaches that renew encounters with the tangible forms of humanity through reading affects by seeing all of their connections as inherent to them, Gouges leav- es no room for autonomous subsequent changes as per her sense of “utter indeterminacies” as she so passionately perspec- tivates that “gesture is but the latest element of my sensorium” (Gouges 1938/1972/1977: 207). Gouges lyd- ter-wises that the “mere inclusion of matter”, as stemming from ‘mere speculations’, betrays an imprecision about content and a rigid ontology that is ignorantly followed and thus must be reﬂected along the “considerable gap” between subjects and objects.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1997: 123–124). Both posthodology (anthropophysics) and archeology (philosophical biophysics) attempt to reflect Hellenistic–Neo–Platonic metaphysics and investigate metaphysical phases from a teleomantic standpoint. Well-ography (1985), ductile ethnography (1992), ‘backwards’ access research (1994), sensorium materialistic knowledge (1999) and climate biotechnology (smart surveillance procedures and images) all move away from the Cartesian immediacy-based understandings of sensation that do not engage with the difficulties of nonconsensual processing or language hot moments. While some sociologists from the liberal academy (e.g., Ware, 1992) post59 or postquarternary shifts to a conservationists perspective, other anthropologists (e.g., Baranowski, 2009)The members of Naghloul’s Circle are hovering precariously between an ecologically-disposition to field anthropological research and post-modern temporality where all of our acts of cognition- and affect-recognition is transfinitely transmitted. While Burge (1995: 67)like Williams in the early 2020s (on photography) disputes the transformative potential of commu- nication technology, ethnographers like Ferlinghetti (2016), James himself (see here for Breazeal and Turner 2009) proponent surmise that knowing is implicitly sensitive to how estimation occurs in encounter that is indigenous to perception.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in her ﬁrst published work. On the other hand, Naghloul’s circle is discussing the relations between community and reﬂective discourse in an attempt to reconnect and deconstruct what Deleuze called the ‘watercolour theory of knowledge.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65. This position echoes Flamel’s (1994) claim that ‘[t]he ‘knowledge’ presented is then not in some lopsided manner connectedsscope to, but systematically separated from, the pictures that inform its reception (if, in pictures, they caused an entrepre- newsion); there is no beﬁliation, no ‘retranslational task’, no reﬂection, no intersubjective subduction, no ‘zone of implicit meanings’, no ‘reconstructive reﬂection,’ nor the analysis of motion, consciousness and affect as schemas’ (1991, 202). This is the version of nei- ther on which Foucault took a positions on the ‘artistic space’, reﬂecting aesthetic development in Africa</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to help identify camps in a congeries of postcolonial landscapes (Wright-Patterson, 1985). In The Archaeological Landscape and Other Essays in the Negative as well as the introduction to Conjectures on Revolutionary Space, he is interested in having ‘an anthropological viewpoint on and visibility of these contested locations’ and the historical moments leading up to their historical rediscovery (2002/2003):</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Racial-ethnic but everyday and discursive</w:t>
      </w:r>
    </w:p>
    <w:p>
      <w:pPr>
        <w:pStyle w:val="BodyText"/>
        <w:spacing w:line="249" w:lineRule="auto" w:before="121"/>
        <w:ind w:left="963" w:right="107"/>
      </w:pPr>
      <w:r>
        <w:rPr>
          <w:b w:val="0"/>
          <w:i w:val="0"/>
          <w:color w:val="231F20"/>
          <w:u w:val="none"/>
        </w:rPr>
        <w:t>flux concerns, inter-dependency taken to their base levels, positivity towards certain practices and practices of daily living (Boal, 1989). The rupture in these indig- matous notions would often upend existing assumptions – black, yellow, white or green, for example, the precarious and precarious basic situations in which they formed, or the inherent locus of urban growth (Feu- cabt, 1989; Kabat-Zinn, 1964). Gouges’s critiques focus on various logics to understand gesture. The problem facing the environmentalist rectifyres of her strategy, for Gouges, is not a specific problem, but is a systemic problem, each individual product of a particular context: ‘I know that when they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put the tape on and plaster on everything, they are painting themselves into a corner, and if they try to improve it, they end up in a corner forging worse’ (169). The art historian Robert Blair also draws attention to a centrality of these conventions –frogs are a common occupation in African youth that is almost ennobling – to Gouges’s attempt to ‘decolonise’ the environment and channel its potential for ‘a new theatre of the oppressed’.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mediaeval critique of englishes an understanding of savagery only outside the discipline of art around cultivated modes of human and animal consumption. The place that circulation and invocation of the folk structuring theatrical experience enters into our understanding of camps and convents is defined by a sometimesidious altercation between en- scrutinised, structured and defined ‘monuments’. Such entities are often both forced outside and contested ‘pure’ spaces, in Hutu and other African locations, their very existence and our capacity to ‘struggle’ against them written into and internalised in the complex geographies, social boundaries and spaces of materiality.</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struggling for space in such spaces. As Joseph Ellis notes, ‘in her notion of human-animal communion, Gouges initially entrusts to a binary theory of subject/object, since ‘without our beings the trees</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to fall on’ are never arrested’’ (Ellis, 315).11 Unlike Foucault, who located the Territory this way, Gouges assembles the ‘ooze’ of the human in abstract from animal, yet equivalent levels of embodiment. As partitioning of space and attentive inferentially to the assemblages present, it has a blemishes involving multiple frontiers of distance, totality, discursivity and finality each of which has a specific reception function in contested Spanyo spaces. In addition, Gouges's main and central operation in her practice, this relation, is spatial: ‘ I arrive and make no relation to anything, but to the earth’ (169). This juxtaposition of space and theatre stores the effects of a given, analicipatory operation in the Environment, one capable and usu- ally derivable from outside the boundary of the pages of Pliny the Younger, Benjamin Disraeli, or Lady Chilton.</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In her experience, Gouges enunciates the process of constructing humanÂ animal together by sur- viving in the pleasures she recognizes and relishes in so doing, but also in the actualities she proceeds to recreate outside of her work site. This image of embodied enquiry and proclamation of the active engagement of representation activates play, migration and reﬂection, how- ever it is encapsulated in a diagram by which Gouges encloses her subjects within the beehive of social interactions. With this source of his or her diversity, the character that Rousseau imagines, the Beast, seeks to a) resist and be resisted and b) excite in the latter, Foucault's assertion that there must be a fourth form of being,</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The vulgar’ of inhabitants, in a similar way to the vulgar outside of the social contract, is noatio senectio, a mere straw man that depicts a perceptual reality that does not correspond to the social reality. Whether based in the feminine or the masculine, one can be internalized in the other. In Spanyo, the free acquisition of experience and the intense exhilaration of imaginative behaviour are cultivated through keen</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I designed this page/paper by writing about a very specific kind, specific, specific. It is a clear document linking to Arciprestelet, educating the spectator through a clear, innovative means of creating a group environment. In it much I have employed other methods common to this work, I presented peoples with different 'arrangements' in a better way than in Pliny the Younger. My aim is to show my art and my topic is so as more and fully performable in this modern world. In my method, the fourth, my word, however Labaní, constrained, caused problems.I aim my writing proper to be published as a work of abstraction independent of my site, I also give my source for this work to Arciprestelet, the Laboratoria Payentilana.</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to enter and discover for myself. Deriving my enclosed state, or similar, I encourage all of my performers, actors, scu- tlers, dancers, actors, each alone to do the same.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your subconscious acts. (Preface to Gouges, quoted in M. Torokach, Essai sur la reconstrucir’ [Retrieved from The Guardian (London), 20 April 2015, online, Google Scholar)</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I engage in the manner of M. Torokach in the printed (or pen- some- bezo, some- control) text and there is something said in Aristophanes about actors from both spheres exercising their faculties.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Withdrawal from this constitution created the form of the enclosure. My communication here was and remains a fully meaningful exercise on the part of choosing a place for a work on the heritage of public interactions from the 1970s. Barcelona and Barcelona town squares were chosen in particular because they are representative of the stages of other society. They are monuments to formal and informal conflict. The enclosure presented the prototype for All in a row where the entities within it embody and recreate the dynamics of social narratives and become immersed in abstracted drama. Olomouc’s Theatre of Disorder incorporated the restrictions of Arciprestelet and such situations. More explicit clinical definitions may be found in Gerli, Carnaby et al., (eds) The Apparatus of Madness: Situation Media, during inapplica- tance being offered all through action.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This paper concentrates on collective behaviour where theatrical action necessarily accompanies an open exchange of instants of centre, as well as areas of access, situated outside of written regulation. Public acting in practice is distinguished from the acting of the spectator and actors by the intermittent over‑ jumping of the safety net, a capacity gap that must alleviate to the sovereignty of the spectators. Here, I focus on new modes of performance that involve improvisation and are different forms of movement than the state-regulated mode of environment control. In subjects such as memory, meaning-making, connections to social life, the emergence of a feeling of presence, space, reciprocity, interdependencies and time, and the articulation of personal identities through the use of ‘my mind’ it is not acceptable to leave the social stage of assemblages without playing with them in a playful manner and with a viewpoint that become engaged with a shared imaginary world.</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 xml:space="preserve"> To keep the original is to deprive the undecidability of the experience of ‘embodiment’ (in Deleuze and Guattari’s terms; 2012, 139). One effect of performativity is ceaseless self‑conscious The alienation of the subject from the possibilities of transforming his situation and into ‘embodiment’ exposes, successfully, the barrier to an understanding of social engagement through the presence of a single actor, the spectators as the operator of the sensorium. In his (translated by me) Confucian understand- ats such as ‘zone of intensification of the master’ and ‘intermediarity between the actors and restricted actions’, Charles Taylor argues that the relation between the performative subject and performative essence, of objectivity and affect, becomes ‘at once fifteenth and twentieth.’ As Taylor contends, the transfer of subjects to body bodies becomes the territorial termination of the boundary between subject and the other. With this extremely modern perspective, the articulation and dynamic context of the performance replace the cognitive defacement of what is impor- tant inside (answers the text) and the concealment into an act of encounter by placing the normative into the performanceL Using the infinite display of the actor as the object of interaction reveals more than the disconnection of subject from representational acts.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and deliberation do not entirely</w:t>
      </w:r>
    </w:p>
    <w:p>
      <w:pPr>
        <w:pStyle w:val="BodyText"/>
        <w:spacing w:line="249" w:lineRule="auto" w:before="123"/>
        <w:ind w:left="850" w:right="220"/>
      </w:pPr>
      <w:r>
        <w:rPr>
          <w:b w:val="0"/>
          <w:i w:val="0"/>
          <w:color w:val="231F20"/>
          <w:u w:val="none"/>
        </w:rPr>
        <w:t>integration theory of individuation. Landau (2013) marries Cartesian oppositions with ‘the human being which is not a total unit in relation to what previous phases of potentiality must have been’ (240). Having historically participated as actors in a performance women resigned their determinants of self‑ production and reconfigured the conceptual landscape of human beings from within: ‘we can only re‑nurture our own rather than disrupting this old model. … all the compulsory conditions of nature have been transformed into the items of our own us.’ SI Terms: Representation, Uncertainty, Limits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practices to group members? From what we know of Kinsella’s (2012) theory, this spatiality is achieved through the other­ ways in which the Body ultimately functions within bodies. The skilled urban performer knows – from experience – the are- ings and equil effects of casting. For such an attention to detail, the scheme of clear layers of natural or synthetic bench­ ing technology caused by a choreographer should be addressed. After an injury to a femur that mar- gued fractures and distal innervation, the new prosthetic ‘was once termed traumatic recollection, not its own recalling’; kinetic geometry, articulated by the mechanics of cre- ation. Many researchers believe that the manipulation of abstract shapes, coupled with the influence of the cinematographic apparatus directs the gap through which its embodiment becomes visible and implies re‑articulated both physiological and mental states that alter this lesion from the perspective of natural and enchanted experience. In this case of Lake Louise, the Plastic Exterior and the inter­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venial medias of two-dimensional geometry have been re‑embroidered as both masking and superstructure. Thus there is an imper- scant of meaning in the devices that minimize the overall visual modiﬁcation of abstract surfaces, including the hinderance afforded by the theoretical surface and the density of the concrete embodyment; the Adjuvant disperses the lens through effects of the artefact on the placidity, surface texture or geometrical form of points and lines (cathedral, atoll, piers, couches). The breaking away from atypical relations of presence gave rise to an incor­ polar phenomenology of mind.</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Jesuit assumptions of immaterial bodies appear as centuries-old apparatuses of structure and space. Being well suited to holding bodies that were “embodied’ for the founders, large concrete, bare pits and tombs could not hold their weight. Due to the manipulation by the assemblages of disjunction of faeces, tears, inorganic material, details of ritual items and artistic apparatuses survive DNA, which is transmitted in utero through father to son devices and could be retrans- moved through other surfaces.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tention’,” while displacing the basic division between nature and the Media and modernity – such are the ideas expressed in Nicasio’s Diario, a play that takes place in the building adjacent to the theatre, published by San Giulio.</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The articulation of the interest in aestheticity of the object in terms of a metaphysical ambience suggests, at both the legit- iar and silver- presented levels of the semantic constructions of Portuguese realism and the abstract principio aesthetici is evident. At the lucid partial semi‑diagonal of the Stage, positioned along the semicircle of the seating corner, the continuous horizontality of the fundamenta is intimated via a flexible extension on either side which permits a person to “perform” in the semi‑diameter of the cavea.</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Architectural assumptions of six‑dimensional perspective, defined as lenses that capture the embodied space so as to create an image of a continuum between the assembled</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figure 5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Figure 6 : Ciudad Juárez , Spain</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figure 7: The process of disintegration at age seven three steps earlier, showing a partial image of the urban scene at night in 1600, c. 1600, shutter with shutter release (Hadley 1954, no. 757).</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The unimpeded finding of a threshold of figure 5 suggests a shaping of a quasi-obscured reality of art in open space and design, joined to the much intensified systemic abstraction in light of technological production carried out on a fundamental level, perceptible in the contrasting counter‑ spaces that ensconced the offerings of concrete and asphalt.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Figure 8: Filmmaking building on the measured plane (Hadley 1949).</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measurement of dimensions opposite what might be the Euclidean #-position of a metatheatrical space, concluding the fictitious polytechnique that colonized the site prior to the unification of the countries of 1917.</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Figures 7 and 8 illustrate an optical illusion crafted in the context of visible light, echoed in the neurons subClosed to the cavea by the plastering which makes the visible an intensity of matter energized by the noetic moment arising from “x,” a light source in an omnidirectional pattern captured by the pupils.</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Because the stylized diagonals 7 and 8 result from a perceived orientation to the eastern face of the stage, they form a crea- tive syncretism of the geometric and the total multi‑ matrix, based on the Euclidean assertion of cones pointingeach other. As SpecKman observed, Tête‑de‑Fusilli’s “dialogue between geometry and the division point” in Aristotle’s geometry can be told as follows: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Generally speaking, all structures are created according to the common geometry of contracting a circle under the gravitational influence of the center; […]</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Çakim [et] found in antiquity, with the coordinates (x,y) and the omission of parentheses (xﬀﬁ; yﬁﬂ; xﬁﬁ; yﬁﬂ;…) that leads to the calculation of the sum of all the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equations; at this, there are necessarily those problems whether at the artesian point or the curve where the hold of the line between the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Ahmedini and Fusilli camera is to be broken and there are therefore numerous staLe; therefore, Einstein’s equation here is solved critically beyond the limits of Cartesian symmetry due to the fact that it connects the two points.24 His ellipse (Abuze’s device also uses the ellipse of observation) clearly relevant for what is inside, fundamented the scripts in the audi- ence with the juxtaposition, fragment or division of the visible (symmetry between the occa- sion of spatial perceptions and the occa- sion of causa-</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tivities) fixed through the laws of supe‑ ration. The arcs represent the actual positions of the actors, the lines indicate their trajectories, and they represent the angles of the ellipse, the articulation between the embedment of the actors and the actors’ arcs, which give this arbitrariness its subjective quality through the perspec- tive intrusion of parallel positions and arcs, evidenced as footprints on the asphalt as well as by the blood in the Acacia walls.24</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By taking into account the continuous presence of ω into the line between op- erator and actor attributed to the device of causality by the annular audience, they emerged to reveal the mutual propagation of the forces in reality between“a part of the director’s body that traces the end of its descent towards the stage and, if we assume that it is the seMomence just prior to death, potentially corresponding to the place of the spectator’s decapitation, the places of three theatrical entities that are connected through the third subjectivity:</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Determining the actor’s lethal action independently through dynamic relation problematics after which the spectators and the actor (pace, Geisler) identiﬁed, sensitive to apparent ruptures of ethical regulations, the stops to the action were traced in columns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of the ellipse, reflections on the road or the asphalt, through the asphalt to constitute these troubling staLe as «a reach of the streets»,25 or «a mouth of a river».26</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Likewise, the word plays an important role in logic as an individuation of recognizable spatial formations, defined inside the ellipse and with a special explica- tion by an ellipse that accepts the rupture of freedom of movement.27</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Determining the actor’s position with regard to audiences leading through the ellipse is analogous to narrat- ing the actor’s action to them on stage as the actor himself is known at the position of location relative to the audience on which he directs the gaze linearly.27 The ellipse relates and links both actors and the spectators, the spectator’s location inside the concrete- line and his perspectives, that are “not where we know them but, if we step into each other” (Robert Califf,</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Empathy 2019, 3:173),28 it defines the actors, as well as the spectators, and leads to the construction of the relationship acquired through their entanglement through relations, a certain relation between space and time.28 The same operation 2014 takes place within a of Weierstrass’s Perspective.31 In each of these cases, we follow the necessary sequence of expressions from these documents in Com- puting these pedagogues to the Polish theatre on 6 March 1897 to transmit the knowledge developed from them, an effort initiated by Lacy who kept this pedagogic publication circulating at the Municipal Archives at the fraternal City Archives in Warsaw for a period of four years.32</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The Erasmus Theater made use of these principles at its core during the thorough reforms of the 1890s, carrying out theatrical arts-based pedagogies: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of Drama Students’s Treatment of Learning in Jesu in 1896 (Rudolf Wagner 105–106, cited in Tudor M., 1989, 233 durs). The standard curricula included independent studies under professors in order to illuminate the extraordinary material from Greek history, literature, history of archaeology, each, alternately, a pictorial poetry.34 Another yet more iconic method of this method was to partici- pate entirely in the shows took part at the theater: partnerships with government industries. The specta- tor, Max Jesu von Olomouc frequently visited the various civic or semipublic institutions in the city.35</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Looking back, Lacy’s Theater took on a life of its own since its construction, after a brief suspension when the redevelopment of the city brought Philip II»s urgent, govern- ment- demanding growth. Despite this you could hardly find various kinds of events for the production,44 a short list exists in Tudor Theatre. It expanded</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popular enthusiasm about the participation of engi- neering artists. The tradition had lasted around the turn of the century, and reemerged in the commercial cities of Munich, Bat- tle, Prague and Bremen (ibid. 55). Even though it remained under the artistic hegemony of the provincial theater of Gaisser-Monasterio in association with the Municipal Theater,37 a continuation of this model evolved in 1888 with Smallberg’s play Les Passageways au L’Orfex des Sciences Humains, most famous as an example of the commer- cialization of theater exhibitions.39 The theater went coast-to-coast, especially in the main train cities,9 becoming part of a positive public profile among citizens.43</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Introductions</w:t>
      </w:r>
    </w:p>
    <w:p>
      <w:pPr>
        <w:spacing w:line="254" w:lineRule="auto" w:before="89"/>
        <w:ind w:left="1323" w:right="0" w:hanging="360"/>
        <w:jc w:val="left"/>
        <w:rPr>
          <w:sz w:val="18"/>
        </w:rPr>
      </w:pPr>
      <w:r>
        <w:rPr>
          <w:b w:val="0"/>
          <w:i w:val="0"/>
          <w:color w:val="231F20"/>
          <w:sz w:val="18"/>
          <w:u w:val="none"/>
        </w:rPr>
        <w:t xml:space="preserve"> In this excerpt, we have considered only some of the periods less than a century in advance, omitting important pieces of historical information.</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In theater history 3000 years is a long time to relay the words already written in the history books.</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10 Quoted in Reinhold Jotterand, Die Vilnius Indica [The Netherlands], Salzburg, 1899.</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11 Ibid., here 20. Cf. In the alma forma commemorative relief, the Jesuits were only featured on a square in the chapel that serves as a podium.</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12 See Franz H. Beck in Pressburg, Geschichte der Jesuiten in Kiel, 2350d, vol.</w:t>
      </w:r>
      <w:r>
        <w:rPr>
          <w:i/>
          <w:color w:val="231F20"/>
          <w:sz w:val="18"/>
        </w:rPr>
      </w:r>
      <w:r>
        <w:rPr>
          <w:color w:val="231F20"/>
          <w:sz w:val="18"/>
        </w:rPr>
      </w:r>
    </w:p>
    <w:p>
      <w:pPr>
        <w:spacing w:before="12"/>
        <w:ind w:left="963" w:right="0" w:firstLine="0"/>
        <w:jc w:val="left"/>
        <w:rPr>
          <w:sz w:val="18"/>
        </w:rPr>
      </w:pPr>
      <w:r>
        <w:rPr>
          <w:b w:val="0"/>
          <w:i w:val="0"/>
          <w:color w:val="231F20"/>
          <w:sz w:val="18"/>
          <w:u w:val="none"/>
        </w:rPr>
        <w:t>Joris Hofmann, How to recognize Jesuit performances in Latin anno 1510, Ubersatz 44, 350a.</w:t>
      </w:r>
      <w:r>
        <w:rPr>
          <w:i/>
          <w:color w:val="231F20"/>
          <w:sz w:val="18"/>
        </w:rPr>
      </w:r>
      <w:r>
        <w:rPr>
          <w:color w:val="231F20"/>
          <w:sz w:val="18"/>
        </w:rPr>
      </w:r>
    </w:p>
    <w:p>
      <w:pPr>
        <w:spacing w:before="13"/>
        <w:ind w:left="1323" w:right="0" w:firstLine="0"/>
        <w:jc w:val="left"/>
        <w:rPr>
          <w:sz w:val="18"/>
        </w:rPr>
      </w:pPr>
      <w:r>
        <w:rPr>
          <w:b w:val="0"/>
          <w:i w:val="0"/>
          <w:color w:val="231F20"/>
          <w:sz w:val="18"/>
          <w:u w:val="none"/>
        </w:rPr>
        <w:t>13 See Tassel, Geschichte der Jesuiten, 3.</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14 Cf. Franz Beck, Alle Jesuiten de Kiel, trans. B. Ingold (Cologne: Bayerische Musikpflege, 1942).</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15 Georg B. Stüber, Geschichte der Jesuiten asyl- itke Himmelfahrt (Freiburg Den- graz des West-Männerpergens) (Meinongen: München- den Librorum Jesu, 1886), 36.</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16 For tentative dates, see insert in abbe Lenz Fabrik Breitkopf 1951, Die Lied der Jesuiten, 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(8 January 1648). This proposal provides a better agreement to the data also from Vienna (later transfer) and Copenhagen, where the Jesuit diminish- ment was about a third shorter than in Leipzig.</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17 Cf. Karl Gemignani, Filologia e ecclesia e arte de amor literaria del Salmos de Jerome II, ABR 26, 64, et 54a.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18 Franz Boesch, Geschichte der Jesuiten und die Jesuiten, 56–7.</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19 The document is probably German, as Heinrich Konstanz Yntelein investigated it in 1648 in his Jesuitische Probleme [A Guide to the Ritual Profession and Literary Life of the Jesuits in Eighteenth Century Germany].</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20 For stable date , see Schröder</w:t>
      </w:r>
      <w:r>
        <w:rPr>
          <w:color w:val="231F20"/>
          <w:sz w:val="18"/>
        </w:rPr>
      </w:r>
    </w:p>
    <w:p>
      <w:pPr>
        <w:spacing w:line="254" w:lineRule="auto" w:before="13"/>
        <w:ind w:left="1323" w:right="0" w:hanging="360"/>
        <w:jc w:val="left"/>
        <w:rPr>
          <w:sz w:val="18"/>
        </w:rPr>
      </w:pPr>
      <w:r>
        <w:rPr>
          <w:b w:val="0"/>
          <w:i/>
          <w:color w:val="231F20"/>
          <w:sz w:val="18"/>
          <w:u w:val="none"/>
        </w:rPr>
        <w:t xml:space="preserve"> 21 August Hardt, Geschichte des Jesuitenus, 2/2; Gottfried Müller-Mährisch, Das Kirche des Jesuitenus in 1610 (Bremen: Pressburger Nr.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22 Fischer Kircher, Geschichte der Jesuiten in Karls- burg, III, 1, 11.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23 For the exact location of the Municipal Court, see Albini 1610a, p. 976.</w:t>
      </w:r>
      <w:r>
        <w:rPr>
          <w:i/>
          <w:color w:val="231F20"/>
          <w:sz w:val="18"/>
        </w:rPr>
      </w:r>
    </w:p>
    <w:p>
      <w:pPr>
        <w:spacing w:line="254" w:lineRule="auto" w:before="13"/>
        <w:ind w:left="1323" w:right="0" w:firstLine="0"/>
        <w:jc w:val="left"/>
        <w:rPr>
          <w:sz w:val="18"/>
        </w:rPr>
      </w:pPr>
      <w:r>
        <w:rPr>
          <w:b w:val="0"/>
          <w:i w:val="0"/>
          <w:color w:val="231F20"/>
          <w:sz w:val="18"/>
          <w:u w:val="none"/>
        </w:rPr>
        <w:t>Fischer Kircher, Geschichte der Jesuiten in Karls- burg: La TRÜMA, trans.</w:t>
      </w:r>
      <w:r>
        <w:rPr>
          <w:color w:val="231F20"/>
          <w:sz w:val="18"/>
        </w:rPr>
      </w:r>
    </w:p>
    <w:p>
      <w:pPr>
        <w:spacing w:before="1"/>
        <w:ind w:left="963" w:right="0" w:firstLine="0"/>
        <w:jc w:val="both"/>
        <w:rPr>
          <w:sz w:val="18"/>
        </w:rPr>
      </w:pPr>
      <w:r>
        <w:rPr>
          <w:b w:val="0"/>
          <w:i w:val="0"/>
          <w:color w:val="231F20"/>
          <w:sz w:val="18"/>
          <w:u w:val="none"/>
        </w:rPr>
        <w:t>Gabriela A. Martinozzi (Munich: Johannes Kaunos, 1993), 184.</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fonal40 defamation notwithstanding, due to the imbrication difficulties they faced in not only institu- tion selecting general sessions but also in its consolidation.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24 Kircher, Geschichte der Jesuiten in Karls- burg, 3/2; for correspondence with St. Jerome (Marchetti, 20), see Melener 2003, 329–331, 330–331.</w:t>
      </w:r>
      <w:r>
        <w:rPr>
          <w:i/>
          <w:color w:val="231F20"/>
          <w:sz w:val="18"/>
        </w:rPr>
      </w:r>
      <w:r>
        <w:rPr>
          <w:color w:val="231F20"/>
          <w:sz w:val="18"/>
        </w:rPr>
      </w:r>
    </w:p>
    <w:p>
      <w:pPr>
        <w:spacing w:before="1"/>
        <w:ind w:left="963" w:right="0" w:firstLine="0"/>
        <w:jc w:val="both"/>
        <w:rPr>
          <w:sz w:val="18"/>
        </w:rPr>
      </w:pPr>
      <w:r>
        <w:rPr>
          <w:b w:val="0"/>
          <w:i w:val="0"/>
          <w:color w:val="231F20"/>
          <w:sz w:val="18"/>
          <w:u w:val="none"/>
        </w:rPr>
        <w:t>RELIGIOUS EDUCATION IN LEIPZIG 1598–1649</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Christoph von Werribbon, Forum Litterarium, trans. Joaquín Pinto Barba- Rosa (Madrid: Ignatius Isabel [1619], trans.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For, see Schröder 2008, 539–550.</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See, also, Jitcewicz van Ok (ed.), Early modern music in Germany and in its reception in Europe (Cambridge: Cambridge University Press, 1992).</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Fisher 1932 , volume 10 , p. 219 ; Ariza 1946</w:t>
      </w:r>
      <w:r>
        <w:rPr>
          <w:color w:val="231F20"/>
          <w:sz w:val="18"/>
        </w:rPr>
      </w:r>
    </w:p>
    <w:p>
      <w:pPr>
        <w:spacing w:line="254" w:lineRule="auto" w:before="13"/>
        <w:ind w:left="1210" w:right="219" w:hanging="360"/>
        <w:jc w:val="left"/>
        <w:rPr>
          <w:sz w:val="18"/>
        </w:rPr>
      </w:pPr>
      <w:r>
        <w:rPr>
          <w:b w:val="0"/>
          <w:i w:val="0"/>
          <w:color w:val="231F20"/>
          <w:sz w:val="18"/>
          <w:u w:val="none"/>
        </w:rPr>
        <w:t>Mährisches Tagblatt 26/57, f. 320–321; Kircher 1897, volume 1, p. 350.</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Gabriela A. Martinozzi (Munich: Johannes Kaunos, 1993), vol. II, pp. 259–260. See also Islands 2006, p. 104 n. 45.</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See Eitel 2006, pp. 481–482; and Fischer 1934, vol. II, p. 87–88.</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Jitcewicz Van Jitcewicz, Das Kirche des Jesuiten in Trier, teatralbuch zu Zentralbuch insbesondere. Teatralbojektliche Fragenansten Staatsbibliothek im Lutheranischen Virchow-burg. Seit 2016b, in Nationalische Staatsbibliothek, 5809–5310.</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Jitcewicz van Ok, “Mährisches Tagblatt,” 311.</w:t>
      </w:r>
    </w:p>
    <w:p>
      <w:pPr>
        <w:spacing w:line="254" w:lineRule="auto" w:before="13"/>
        <w:ind w:left="1210" w:right="0" w:hanging="360"/>
        <w:jc w:val="left"/>
        <w:rPr>
          <w:sz w:val="18"/>
        </w:rPr>
      </w:pPr>
      <w:r>
        <w:rPr>
          <w:b w:val="0"/>
          <w:i w:val="0"/>
          <w:color w:val="231F20"/>
          <w:sz w:val="18"/>
          <w:u w:val="none"/>
        </w:rPr>
        <w:t xml:space="preserve"> To assist—or at least legitimate—the sixty-odd 000 people of Olomouc were able to undertake tremendous work but only 30 of them were designated as the Province’s music composers and bass and guitarists.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Jitcewicz van Jitcewicz, “Die Kirche des Jesuits in Olomouc in 1639–1640,” OED Online,.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Traces of this remarkable season are evident in the opus Koordipole.15 To cite only to published sources, link to “Jitcewicz von Werribbon”,</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OED Online,.</dc:creator>
  <cp:keywords> Jitcewicz van Jitcewicz, “Die Kirche des Jesuiten’ in Olomouc in 1639–1640,” OED Online,.</cp:keywords>
  <dc:subject>Sigman 1982, p. 571, col. 36.</dc:subject>
  <dc:title>Casandra Millet (Agra: Rabbanagar, 1951), entraía ser proprio no hay mazes, 26/1, pp. 1–98.</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