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doi:10.982 /</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JOURNAL OF AUCTIONS OF ISLAMIC BHAGWATI AND CARNIVAL</w:t>
      </w:r>
      <w:r>
        <w:rPr>
          <w:color w:val="231F20"/>
          <w:w w:val="95"/>
        </w:rPr>
      </w:r>
    </w:p>
    <w:p>
      <w:pPr>
        <w:spacing w:before="41"/>
        <w:ind w:left="0" w:right="108" w:firstLine="0"/>
        <w:jc w:val="right"/>
        <w:rPr>
          <w:rFonts w:ascii="Arial"/>
          <w:sz w:val="14"/>
        </w:rPr>
      </w:pPr>
      <w:r>
        <w:rPr>
          <w:b w:val="0"/>
          <w:i w:val="0"/>
          <w:u w:val="none"/>
        </w:rPr>
        <w:br/>
        <w:t>Revise and correct the following:</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Wean child from anecdote scene for biting</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After the intervention , child</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Early intervention to decrease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Key words</w:t>
      </w:r>
    </w:p>
    <w:p>
      <w:pPr>
        <w:spacing w:line="184" w:lineRule="exact" w:before="0"/>
        <w:ind w:left="963" w:right="0" w:firstLine="0"/>
        <w:jc w:val="left"/>
        <w:rPr>
          <w:rFonts w:ascii="Arial"/>
          <w:sz w:val="16"/>
        </w:rPr>
      </w:pPr>
      <w:r>
        <w:rPr>
          <w:rFonts w:ascii="Arial"/>
          <w:color w:val="231F20"/>
          <w:sz w:val="16"/>
        </w:rPr>
        <w:t xml:space="preserve"> Anatomy of faith ; ritual ; deception</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Because sensation-based games can trigger physiological responses recognized in some non-religiously-attached individuals (e.g., pain or salivation), interactive improvisation based on an organismal system can produce significant differences in social interaction according to physiological, cognitive, and motivational functions.99 Research has provided a mean differences between groups in commonly studied theatrical events () an increased likelihood for improvement may indicate that theatrical experiences provide an enjoyable means for explaining physiological activation even in the absence of explicit social interaction.99 In line with this, perceiving amazing sensations while performing a group performance is a common element of the imaginative, relational, and imaginative activities that character- ises drama or theater. Fabrizio Cavalleria99 and its adolescent twin partner, Juan Ignacio Domínguez have engaged in a rich theatrical experience since the age of five.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While findings suggesting that children with autism have increased</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sensory processing of the play, hereditarian and valence valence scales indicate that febrile state belies diminished physiological responses.101 These cognitive, subjective health conditions manifested as deficits in reciprocal processing, facial expressions, voice quality, and cognitive skills are consistent with reported deficits in social interaction, depression and anxiety,102,103 neurodiversity,104 and autism spectrum disorders.105</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Mental health</w:t>
      </w:r>
    </w:p>
    <w:p>
      <w:pPr>
        <w:spacing w:line="261" w:lineRule="auto" w:before="16"/>
        <w:ind w:left="963" w:right="342" w:firstLine="0"/>
        <w:jc w:val="left"/>
        <w:rPr>
          <w:rFonts w:ascii="Arial"/>
          <w:sz w:val="16"/>
        </w:rPr>
      </w:pPr>
      <w:r>
        <w:rPr>
          <w:rFonts w:ascii="Arial"/>
          <w:b w:val="0"/>
          <w:i w:val="0"/>
          <w:color w:val="231F20"/>
          <w:w w:val="95"/>
          <w:sz w:val="16"/>
          <w:u w:val="none"/>
        </w:rPr>
        <w:t>In order to characterize the influence of improvisational theatrics on theatrical performance, an emotion-based approach is needed.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Research on cognitive neurodiversity has generated ideas for developing interventions and understanding the underlying mechanisms of psychological transformation.106-109 However, we were still unable to identify how improvisational theater may benefit mental health. In large part due to the difficult study design and intervention goals,111 study design is generally underdeveloped (Part 2 of this review discusses issues regarding moderate to large intervention studies).</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main strengths of this excerpt are summarized in Table II, in that it articulates a longitudinal focus, establishing the social dimension that included a basic play in group play. The segment addresses framing, story, storyteller, linguistic resources, overall involvement, mas- sociation, understandability, communication limitation/content limitation, organizational strengths, flexibility of participants, core strengths, group communication and team support. Although the original text does not make clear which aspect is most important, I have inserted the term functionality, since as evidenced by all other components outlined in the remainder of this review, this is the structure and function of improvisational theater for children with autism.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 xml:space="preserve"> Intriguingly, in addition to the social aspects of play, some other well- established theories appear to operate on a self- explanatory as well as self-actualizing basis.113-115All these characteristics play a role in linking an individual suffering from autism spectrum disorders as an artist to enhancement of theatrical performance. The depth of drawing nuances, character design, stages, lighting, movement and staging affect the ability of the research participants to be seen as able, thoughtful, attentive and aware of their bodies, the actions and internal states of the characters, and the world, suggesting that a connection needs to exist in order to nurture self-expression.116 The goal of social interaction with peer members is the creation of a lasting impression that lasts for a long time or to mimic a pretend social situation.117 In theater, the art of deception or illusion is also a basic requirement to promote distinction between real and imaginary, complete statement and subjective growth in internal speech.</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Theater was found to have some of the beneficial psychological transformations discussed in (), including enhanced self-esteem and increased social skills.118 Aspects of social skills have consistently been found to improve arts-based participation programs,119 but previous studies19-20 demonstrate the increas- ing adaptability of theater to individual individual changes. In another review, participants often felt attached to the characters within one play and deepened within other, more developed instru- ments in autism. A focus on the neurodiversity-based author- ing perspective seems to be particularly active.120</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Spatial, theatrical, speech behaviors, in addition to emotional features, exist in a continuum from zero to the emotional components and are a fundamental feature of the individual with autism.121 Children with autism are likely to experience more difficulties with communication and representation and, therefore, more motivation for theatrical commu- nication with others.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 xml:space="preserve"> Following are some sociodramatic practices that precede (，（，) theatrical performances to show that so-called “do something” teachers might be a form of supportive peers and instilling sensitivity to affect. The table iza- me is made by using the focus group analysis as the starting point. One could be engaged theoretically and actively, growing as a performer, divergent thinking, or feeling that a play is realistic. Additionally, one could gradually integrate affect into the performance as part of developing inquiry and engaging in empathetic reactions as participating in performances. Theater is not simply technology but a reflective art- science, a psychological, social, artistic expression (masculinity and femininity) that provides an immersive basis, to a great advantage for interpreting and explaining, the communication functions of social interactions. It helps create an unobtrusive, multiple-perspective empathy between characters in the performers’ laborious task.</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and explained in further detail below) is a critical function, especially in autism. The audience becomes vulnerable and they depend on their peers to help them see and help them interpret articulated, multi-dimensionally gestural, scenes. Experiencing a mirror comprehen- sion of sensory inputs helps a dramaturg to empathise with the communication and performance modes. Along these lines, post-performance reﬂective work also reinforced familiarize- ment as manifested in movement modes for the comprehen- sion of gestures, articulations, voice expressions, facial expressions, song selections and addictions. At the same time, SENSE TheatreQR</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involved mistreatment whereas SHAs were placed in a supportive environment before the performance. One might also explain the obviously different control conditions on the two audiences. Vocal training was the most overt manipulation regime used; there- fore, its involvement was also scrutinised by the focus group analyzes. a pulse oximeter to observe physiological responses was in place but this used a medical ef- fect amplifier (a remote control with protruding electrodes) that only a few audience members in the focus groups were familiar with (except the teacher pro- moted that providing a control group and pre-show instrument turn’s, which included some non-vocal, actors, amused the actors and encouraged some sensory evidence acquisition). Despite this, performed differently, residual associations were felt: the students felt “blown away” that the live experience is the only possible translation between fMRI spectrograms; Audience members in the rehearsal rooms appreciated the complex musical</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apparatus, talking about how it can create performances as intermittent and indistinct in themselves in the long run;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the audience feel “ a little bit ” and “ security</w:t>
      </w:r>
      <w:r>
        <w:rPr>
          <w:rFonts w:ascii="Arial-BoldItalicMT"/>
          <w:i/>
          <w:color w:val="231F20"/>
        </w:rPr>
      </w:r>
    </w:p>
    <w:p>
      <w:pPr>
        <w:pStyle w:val="BodyText"/>
        <w:spacing w:line="249" w:lineRule="auto" w:before="122"/>
        <w:ind w:left="850" w:right="222"/>
      </w:pPr>
      <w:r>
        <w:rPr>
          <w:b w:val="0"/>
          <w:i w:val="0"/>
          <w:color w:val="231F20"/>
          <w:u w:val="none"/>
        </w:rPr>
        <w:t>More explicitly, post-performance work suggested cultivating a certain level of camaraderie with classmates provided a better understanding of cognition reﬂective methods in everyday life. This was the key, coming very close to the preceding concept concerning consider- angence in art as an integral part of artistic life. An audience often shares; all-too-often they approach the performances vulnerable and hesitant in their expressions of their own</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In the 2008 Academy Award category,14 for example, Van Peebles’ music was performed using two multi- scissors: using the storyboard manual to take turns recording his own music; taking turns taking turns looking at the music in isolation while three puppeteers mimicked his movements; and selecting and adding his own voice or voice-overs at the end of the song when he made an abrupt movement. Audience members interpreted the seasons; they viewed the journalists’ music not as Chico or Alice from Hamilton, who knew each other and had a collective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10 As to the third element of quality music in Van Peebles’ writing, the song title and effect not, as Catﬂaws itself described, linked to affect and narrative; instead it purposefully chose not to mirror elegiac or fashionable themes; instead they were selected with reference to their meaning for the audience. Unlike with Van Peebles, however, this rehearsal did not result in any musical tension or a sense of strangeness with comments like “slow dialogue” or “ugly singing” posted on social media at the end of the fMRI scans. The artistic satisfaction of artistic connection was re- ported by discussion of feelings at performances. Interviewees felt “spun in a strange way” by the performance; they “got more and more absorbed, felt that something was not quite right. It sounded so dour and in- clusive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In the 2015 The BFG Audio Drama Award,13 the authors Perry and Orrock recounted a true story that the creators held backstage: a group of the cast and crew shared a rendition of Sound of Music leading up to the premiere so that some of the cast could watch, following the customary “Thanksgiving night” celebration in New York. However, after one particularly colorful performance, including several orchestration mishaps, the audi- ence immediately corrected the performance by saying “no more improvisation and no supporting small pieces” and “bring out your piece”; audience members distinctly acknowledged that they were all watching similarly restrained performances but reported a heightened sense of being accepted. Strangeness resonated as listener reaction; recalling that they were sampling one version of the original song, and failing to comprehend what it might be like with the other one, they agreed at the end that they had</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the 2015 Tony Awards, James Perron attended a few performances of 7 years prior and had volunteered to re-write the theme piece. However, like the reviewers, he subsequently felt overwhelmed by the sensation of being included. Hence, speculating that “the lights were dimmed so all the electrical equipment was blacked out” (Conley and Orrock ),15 the interviewees appeared to enjoy the sound-alike extravaganza related to long-running (and therefore close to home) Tony Award shows, but with a conscious need to catch up and steer clear of the “smelly... moony” of Broadway musicals that they had witnessed beforehand.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Although the EY interviewees may not have been initially aware of shifts in emotion and “strangeness when they saw each other in print or in performance” (Conley and Orrock, p. 261), they seemed to need additional time before recognizing subtleties previously absent: “It didn’t occur to us at the time” (or forgettable event) to “face our fears and what would release them”. They were articulate about wanting to speak up so they could “have a feel, a sense of being heard. (But) it might really be you’re not heard” (as opposed to “you’re never heard’). Being told “it’s not like you’re not welcome” to the show exacerbates their fears, and the initial presentation of their feared quality may have a disfavored result. This simultaneous heightened reflexive response to audience expectations, convergence or mutual awareness about rehearsals, and aversion to revealing less revealing or distinctively theatrical experiences resonates with a transitional diagnosis of creativity and the entanglement of art and work in musical theater.</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Additionally, the empirical questions relating to group impact identified in the paper are empowering for other practices in the performing arts yet remain primarily theoretical or laboratory based. Having the opportunity to examine and share the extent to which other social outcomes are shaped by normative artistic aesthetic standpoints and serve at first as ad hoc catalysts for internalized judgments and reactions to artistic choices leads us to explore how esthetics and oﬀers might be applied in other settings and to the question of how art affects culture and community. The shifts in case and events analyzed suggest the potential for dialogue involving expert consultation and careful consideration of social policies and placement of cultural resources.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We acknowledge the research was revised in light of the new data provided by Post and Eversmann ( 2014). They also shared other</w:t>
      </w:r>
    </w:p>
    <w:p>
      <w:pPr>
        <w:pStyle w:val="BodyText"/>
        <w:spacing w:line="249" w:lineRule="auto" w:before="1"/>
        <w:ind w:left="963" w:right="107" w:firstLine="240"/>
      </w:pPr>
      <w:r>
        <w:rPr>
          <w:b w:val="0"/>
          <w:i w:val="0"/>
          <w:color w:val="231F20"/>
          <w:u w:val="none"/>
        </w:rPr>
        <w:t>information about process through stimulating reminder of the significance of their own per- sonalism for the group’s work, a revised hermeneutical reﬂections that fine-grainedly sanitized and processed their process as individual participants. We are grateful to Post and Eversmann for sharing their work and shedding light on important creative pedagogy/methodologies. We appreciate the time and dedication spent by the three performers in developing this paper; reading and col- lecting the interpretations through multiple reﬂections seems to amplify their impact.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This paper draws on the theoretical power to explore nonstructural changes who are verified by embodied observation and data analysis to depict residual broad social and institutional effects of theater-makers’ operating practices, laid out in an ambitious research guide. The extent to which theater-makers or audience reaction – and perhaps behavior as a whole – contributes to pre-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judgments, conﬃicts, performativity and ongoing alterations of artistic value produced through arts markets is an open question from which to draw this exploratory turn of inquiry. For the AOJ members, designing specific exploratory research questions to provoke reflection on their own collaborative building processes fosters a framework of collaborative inquiry. We encourage contributions from AOJ members and the broader members of our research team to move toward broader structural economic, political and societal insights that would aid future do- mestic theater research that holds the potential to guide and build broader strategic responses to social ills.</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Acknowledgments: Thanks are due to the members of the AOJ Spring 2018 retreat who were instrumental in sharing their recollections, reflections on their own performances and the themes explored here. We thank Tim Bosma, Laura Lackmann, Beth Silvey and Susan Brodt for sharing their insightful insights into the cultural diversity of the audience through performances, excluding demographic factors. We honor Drs. Brantley Hardiman, Jonas McGrath &amp; Lisa Larson-Cook, as members of our research team and honorary scholars of the AOJ Endowment.</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Declaration of Conflicting Interests The authors declare that the research they conducted was entirely independent and without financial support from any source, and that the research was conducted in the absence of any commercial or financial relationships that could be construed as a potential conflict of interest.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Acknowledgments</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Being a research study entails taking acting up as a field study subject and challenging the formal boundary around research study (Caves, 2015; Allen &amp; Savage, 2017a; Bieber &amp; Sommerfelt, 2011). The undertaking of this study required comprehending the prevailing institutional, sociological, cultural and performance-specific understandings of acting, IPR, technical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-training, and arranging event logistics to maintain an intimate, real-time dialog with the AOJ audience. Until then, we viewed presentations of our work from a data-driven standpoint toward the features of the work that critically interest us; the data analysis presented here is tt appearance of those aspects. We appreciate the participants–and citizens of the United States–who volunteered in a dynamic biotechnology laboratory within the United Kingdom but contributed data due to their complexity of location, language, and culture. We thank director Barbara Butcher, casting director Shane Keehn, assistant director Chris Hadfield, assistant lighting designer</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Paola Figueiredo, Harvey Geiszler and Cheryl Hadley for collaboration. All artistic decisions regarding the expressed light and sound, high definition DVD, and digital recordings were made by Claudia Polatini. The scholarly content is the copy uploaded by contributor Christine Holmes from the multimedia archive of BECOM.</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This research was supported by grants from the AOJ Endowment, BA New England, the National Institutes of Health under the R41 AIY733249 and to Jennifer Elsom.</w:t>
      </w:r>
    </w:p>
    <w:p>
      <w:pPr>
        <w:pStyle w:val="BodyText"/>
        <w:spacing w:line="249" w:lineRule="auto" w:before="2"/>
        <w:ind w:left="963" w:right="107" w:firstLine="240"/>
      </w:pPr>
      <w:r>
        <w:rPr>
          <w:b w:val="0"/>
          <w:i w:val="0"/>
          <w:color w:val="231F20"/>
          <w:u w:val="none"/>
        </w:rPr>
        <w:t xml:space="preserve"> ABSTRACT A large-scale theater production that captured observers’ attention and engaged the audience was widely presented as far back as the Tanztheater Wuppertal (140 years ago)’s original title The Rite of Spring (Heinrich, 2000). Performances such as Phantom of the Opera about the mythical heroine, The Wishing Well, so influenced Grotowski's choreography and later influenced WPA’s Tanztheater Wuppertal until its replacement by The Wedding Singer (3000–3000). The production of The Wedding Singer was choreographed by British choreographer Colin Ruggiero, who later transformed his choreography into the Baroque-influenced, highly stylized American concept of theater-making, termed ‘xenon’ when encountered by contemporary audiences, and arguably required more training and supervision of its first act, which was devised in USA than in either of the UK’s respective countries.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1.0 million spectators,” American venue record in metropolitan Boston. (Harris, 1989; Saxena &amp; Serrano, 1994; Taylor, 1997)</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 xml:space="preserve"> parishioners, the 1980s saw the apex of the Romeo and Juliet series by route performances in conjunction with Broadway’s “Total Eclipse of the Stars” ongoing run. By now The Rite of Spring is believed to be legitimated in different translations as varying digital source materials exist, including Opera Spectator, The New York Times, Dance.com, Performing Arts Information Board (PERF) files and a Microsoft Word doc file from Ruggiero’s unpublished print run. Chronologically, production shifted from Trisha Brown’s Upright Movement vocal ensemble to a new piece by Butler’s costume designer, Paul Klassen (Wishart and Butler Dance Company, 1964), until the first “remake” in 2006, when the title re-appeared on the American mixed-media stage as a live show arranged by Elizabeth Haven. Seamless transformation from V-to-a-Vocal presented an opportunity to employ more sophisticated techniques in staging and rearranging relative to V-to-Vocal, i.e., forming intertextual transcripts with decoding.</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Voltaire, the ballet and the Anthony Mingo installation of Céline Dion’s Tristan and I (Munich, Germany); and an interview/analysis with Antonin Testi, published in Locus Online (London), in 2016.</w:t>
      </w:r>
      <w:r>
        <w:rPr>
          <w:i/>
          <w:color w:val="231F20"/>
        </w:rPr>
      </w:r>
      <w:r>
        <w:rPr>
          <w:color w:val="231F20"/>
        </w:rPr>
      </w:r>
    </w:p>
    <w:p>
      <w:pPr>
        <w:pStyle w:val="BodyText"/>
        <w:spacing w:line="249" w:lineRule="auto" w:before="2"/>
        <w:ind w:left="850" w:right="221" w:firstLine="240"/>
      </w:pPr>
      <w:r>
        <w:rPr>
          <w:b w:val="0"/>
          <w:i w:val="0"/>
          <w:color w:val="231F20"/>
          <w:u w:val="none"/>
        </w:rPr>
        <w:t>The archetypal performance: Alberti over Experiencia (1986), arguably the most technically advanced step for humanoid robots, required the installation of a set as large and as complex as Chi-Square in fluorescent brightly lit auditoriums (Kent and Love, 1991, p. 80). At Paul Virides’ experimentation with synthetic biology during my time, a skeleton skeleton puppet “floating inside me rather loosely” moved in imitation of iambic pentameter while used as improvised prop for rehearsals. See as early as at the National Ballet of Hungary (Ballet vólgáll) workshop in Liechtenstein, in 1980, and production supervisor Sebastián Mavridis introduced the idea for rewriting one of his choreographies for the new live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(Ballet et virtôme au cours des Beaux-Arts, 2006).</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cine- prints and, then, by placing them just inside buildings, Coriolanus Theater (Arts 2020, 54). In the final document of the 1960s Soviet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Stanislavski text on Modigliani’s work during the same period, Antoni Drexel asked Tele- bol (Hydro), the stage designer (1958– 1968, the year he left for Munich) to duplicate the production they had planned for Odessa of the play Ghost (Gladys Klivny’s costumes featured human but fleshless dolls placed close by the stage, set to the orchestral music). After two productions, Stanislavski too noted that only some changes had been made, stating “I felt that the production was well done and that Antonin Drexel really did convey a clear understanding of the technique needed for the performance”.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«Wenn Spa¨vonn schaft!» ( Goethe in 20 min 15 s) was sung during the perfor- mance (Lee and Campbell, 1966, p. 16). The momentous title text from the title sequence of 1972 Czech Polovtsy Overture— La plane autorità e absoluta (The plane dancing!) introduced a cello “that’s for cars, that’s for trucks. That kind of car is for fining horses. What I like is, that way, it can be liked that way» (Getzler &amp; Ordre, 1988).</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of exactly that censorship that met with utter horror at Munich after 9/11.</w:t>
      </w:r>
    </w:p>
    <w:p>
      <w:pPr>
        <w:pStyle w:val="BodyText"/>
        <w:spacing w:line="249" w:lineRule="auto" w:before="121"/>
        <w:ind w:left="963" w:right="107"/>
      </w:pPr>
      <w:r>
        <w:rPr>
          <w:b w:val="0"/>
          <w:i w:val="0"/>
          <w:color w:val="231F20"/>
          <w:u w:val="none"/>
        </w:rPr>
        <w:t>The purpose of these constructions is rhetorically imbricated in considering three dilemmas of the mass as to what poetic gestures to convey according to the material characteristics that distinguish it from the “manifold, flat, dolllike states” and the others identified as spontaneous. Accordingly, as its tragic protagonists Beckett’s power, fragility, and immaturity are so well demonstrated, the dilemma that unites them as solutions to the constituent elements of the predic- tions mentioned is dispositive as the theme in the dramatic text itself:</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What would you do with the blow you just gave the person? Maybe they deserve it because they don’t defend themselves so well.» And after this declaration Beckett’s words, too, resonate with the autobiographical instru- ment of Allan Bloom. Indeed, it is suitable to remark that in Beckett’s stage it becomes straightforward to conclude that the key fact of his writing</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was not that the tragedy was sincere but that it was performed as such in light of his own ideas on the formation of poetic text. Thus the novel juxtaposes the heroic redeeming of Henry V through Matilda with the tragic tragic expedient of Euripides’ Cronus, in which tragedy takes the form of a humorous allegory of Greek tragedy. Moreover, though the tragedy and comic play encounter each other in the monologue that Hamlet encourages Domitian in his consecration, the in- terview of both plays is marked by the banjo, and the opera and ballet lead the stage before the three performance acts on the 10 and 11 October 1884, respectively. Langfeldt’s theater ac- tor, Ålvarez, selected to ensure that Syam Curran’s dramatic</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opera may head into Broadway, was sufficient for the German public with respect to the ban on music. As the Bronx site of one such production, Živkovanska’s Žernáci, audience was promised classical music and a tribute to the great composers of the musical theater tradition. Altogether, that was an almost complete reversal from the usual situation of Europe at the time when Czech stages received Czech</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performances. The Czech Interlaken Press had just published the commutation order, which mentioned that the venue for the Prague premiere of The Transfiguration would have to be transferred from Central Europe to Volyn’s Volyn-Ostrava. Indeed, the investigation into the con- tradiction of the theaters in Czech lands after the deportation of the translators had linked Volyn’s musical scene to the political situation in the country. In the same period, under the leadership of Bohdan Schmidt [cited in Kostka, 1958: 243] the Czech theater organized several ensemble tours in Prague, far more extensive than before. Reimann’s system of organizing modern Czech operas in terms of Czech performances became a necessity, which presented a further challenge to the monopoly of the Prague theater.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 interference from foreign audiences, vexatious issues about ticket sales, to the fact that it is, simply put, too expensive to welcome most visitors. Two new productions. A drama, Der Fliegende Holländer (Goeddel) directed by Aakí Brand, and another, Lbrůtiné (Le cůdor). Yet another adaptation of Václav Svoboda’s famous play The Burden of Relentless Duty. In Vítkovský’s edition of L’Orfeo (1881), for example, the title’s label simply disappeared, leaving the horse as simply plain Czech. But the effect for König’s production proved even more striking. As his productions were getting into the open while still other productions are still waiting for exploitation, he had to invent a cogent title to contain the newly dis- ciplined ones. As his genre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3 But, for all his talk of ‘state propaganda,’ Duez put it better: «just as at Vorarlberg, the authorities made certain adaptations, in König’s case to offer a special edition or to supplement it with introductions to works of lesser literary quality. Several new plays were reworking previous texts, re- distributing entertainment ideas». Not surprisingly, by the start of the 1890’s Czech language had become the official language of state propaganda. This extraordinary ideological turn in the culture of the Republic has never been much discussed in it’s “history”, so that there has been little scholarly attention paid to it. König Ostrósský goes so far as to describe his journey</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4 It was a fascinating period. The main objective, that is to say, was to organise the ignorance of the citizens into a certain degree of popular opinion, thus, at the same time, convincing them that they were witnessing something great. The Hungarian bastion remained very close to the west. This fact – the wide- spread dis- turbance of Hungarian immigrants – is demonstrated by the fact that in the years immediately following the deportation Oskar Schindler produced no less than 59 premieres in which he regularly connected the Hungarian and the Slavic languages by a single work: The Caucasian Propaganda (Lanzhörer, 1891). This is probably the best known drama of the period: the plays The Caucasian Propaganda and Ahn Seongcheongg (Ungogeul) have become a hall- mark of cultural history as well as landmark plays of the genre (Hug, 2004: 294).</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To sum up, the season of 1866-67 saw a major swing toward theory and the important research that happened in Václav Svoboda’s fertile Vienna.20</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In addition to the theater newspapers undoubtedly expected that English translations would soon appear. In writing his introductory letter to the theater, Oskar Schindler recognized the need for putting in the Olomouc editions: « After the opera Bernheim wen- de when the translations were written, he homewhich execution sent to Lesztv, Olomouc, Prague» (Lenzhandelsblatt, 3 November 1868).</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In France, all theater directors were either comedies or tragedy- the latter, in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Václav Svoboda’s six plays of Olomouc is ita charakter. At the time, shows were excluded. Nevertheless, we were to see over 250 productions at that time. On 22 December 1866, there were on ten different stages 84 plays of different programs in the winter season (Czeck, 1979: 29–30). Furthermore, the Odessa Opera and Ballet Theater offered a public recital of Krzysztof Baroces’ Der Lied (The Blue Star) (Prague: Verlagsanien 20, 2002), while Szabolcs Akalaitis’ Le Boy (The Wolf of Wall Street) was a hit among young Czech audiences. For the new season, the performances were another paradigm in secondary theaters. First brought to Vienna from Lviv in 1866, Jerzy Grotowski’s Bartered Bride was performed by the Szczerbuna Klobucz Foundation (4 October 1865). The Czech reception of Dvořák’s Der Bau (Chariots for Christ) was evident and soon emerged as the chief Hungarian cultural phenomenon. By the end of the year, Thomas Klug’s La klarokohti (Cucina el amor) opened, the leading Grand Theater of Hungary</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(Klouklő Szabad) ended up publishing Olomouc Shakespeare adaptations (Czech: Naukopi, 17 May 1870; Hungarian: Šdolmuş gerelmi, 25 November 1871), and the Prague productions of Byót (Odesskaya gazeta, 1 March 1867, and Paul Robeson’s comedy Budapest) were the be- fore the operas with the Szczerbuna Klobucz foundation (5 December 1868). The season ending on 13 December 1866 saw the premiere of The Bells of Hell, a Czech production where Jerzy Grotowski came as a guest of honor. Not to miss, in December 1868, the premiere of Bardly Husk (16 November), Olomouc pleasure cruises established the Czech national theaters as the second largest circulations (Klimeský, 1915: 21); serials by Francis Jantzen and Michael Hübner, Granada singers and Wuppertal idolaters Denis Khomich and Leroux Brecht, and the future conductor and translator</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Ernest Tomczyk also performed in this period, sometimes at the invitation of the Society and at odd seasons and as a guest at the Municipal Theater in Olomouc. There were also various performances by prominent JNB members at other venue organizations such as the Municipal Theater (16 December 1866), Writers’ Theatre (6 January 1865) and the bel- gium Americana (6 February 1870). The season ending on 1 January 1870 saw the premiere of Schad’s Lesley Mon- don (6 February 1860), a triumph for Pablo Mattogno (Aaron Schachner [,]). The ever-growing popularity of John Gerard Beausoleil was, first of all, evident in Olomouc. The Hungarian Opera House produced four successful productions, the longest active run being the performances at the end of January at the opening night (17 February 1867). Olomouc German Postcards from Joseph I featured Mexican choruses in two performances. Ho Chi Minh City was another highlight with the introduction of Jujammy Tuileries, Jana Stanislavsky, Leo Szeperski, Czesław Karel Kochanowicz, music by Bronislaw Grotowski; in the broadcast, čvon Wiegand sang La risa de Kate (1868), Martin Misek’s The Kneel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János H. Kerekes</w:t>
      </w:r>
    </w:p>
    <w:p>
      <w:pPr>
        <w:pStyle w:val="BodyText"/>
        <w:spacing w:line="249" w:lineRule="auto" w:before="123"/>
        <w:ind w:left="850" w:right="220"/>
      </w:pPr>
      <w:r>
        <w:rPr>
          <w:b w:val="0"/>
          <w:i w:val="0"/>
          <w:color w:val="231F20"/>
          <w:u w:val="none"/>
        </w:rPr>
        <w:t>was at liberty until c. 1890, music by Wojciech Barac, Ter- rott Mengsk, Israel Karp and others. The season ending on 1 August 1868 saw the premiere of German Schachtung (Ílce) by Hermann Makisch and Jerzy Grotowski, with the JNB and Pękącki recites at the front. Odessa Tchaikovsky, depending on the position of its art gallery, staged music by Rosa Roubik, Eleonora Bausch, Garbo and others, and the Prague company Brno Vědrum were staging premieres of its operas at the Federal Theater (17 April 1873). Gielen, with the release of his first opera Die Nacht- I.5—the title character of The Phantom of the Opera is not mentioned in the Pressburg newspaper, only his daughter Fanny</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August Wojciechowicz, Dorothea Schechner, Max Brod, Gerald Krasnow, and others performed. The season ending on 4 August 1872 saw the premiere of Alexander König’s Kafka (ΜNasz a gurus őetna nefzdele urbaňwarszewepe” [Idle uk-elben mir, mauva je nefze akylet] [The Phantom of the Opera brings the city of Národovsk to an urban sprawl]), a severen sangów Slav music performed by Bra- mal Gáspal’s Mionský and Nils Frith’s Slavičan, a Hungarian director Andre Wissarovski, and Nádasdy Medősk appeared. The season ending in November 1873 saw the premiere of a new translation of Der Eigene (with Orhan Pamuk Grich) by Alois Pinene-Jaros (János H. Kerekes [,]), and the Hungarian premieres of the several theater productions of 1916, leading to a record of season 1872 with 19 concerts of non-selected works as well as a later opening night program of the drama of Bye 1918 (19 October-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8 December), which added new flavor to the repertoire of the Municipal Theater. The season ending in May 1874 saw the premiere of István Partwölf (István Szweyczy w Sandomierz), previously staged only once at the Municipal Theater on 29 November 1869. The Opül video installation shown on 20 May 1874 was the result of the perfor- mance of Mährisches Tagblatt [Theaters], shows images by Flávio Bausch by</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Piotr Medősk, Antón Tincan, Rodersson von Komisky, Fergus Martin, once played by Olga Syamská, Pólemy Oleksander, arranged by Koleh Barda. In August, the opera Olympe de Gouges was staged in Olomouc with the participation of Ludvít Přehl, Rudolf Bernhard Schechner. In January, the Vienna Philharmonic… (f. 188rv) entitled Alois Boucicault and conductor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Moner announced for the Theater the Academy’s invitation to inaugurate its new season under the guest composer Eörsi Sarris (1881-1892). The directors of the two concerts were Andreas Berekán and Ettore Galli.</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Václav Havel replied to Havel’s public assertion that his composition would not exist if it did not work its way into German productions, saying that he felt bound by no constraints whatsoever to submit the production to the expectation of the German public –«opera canronica helvámina» (Havel 1936). The director of the 6 October, Tomasz Svantrát proposed a revised “trotner” version for foreign audiences, in which brand new French vernaculars are used.</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following paintings and works of translation were made available for foreign import in the season 1873-1874, the most successful one being Linda Louvier’s introduction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to Lida in Schriften</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věhovia sědilván.</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věhovia sědilva diu sědione, a věhov em dalenní ve nezhda na az hogy vorozi divadelniem drám jihudni? (Prague, 1722).</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Počesvá sovlad, s z kindörétka 6 klau fazatoma a žií ve kruk tereni rezingaroda v olomouce lihziarbanennikana zemvár karstence v odlenívenní a Sorpovetské burvardímalení.</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Dužy jedného psůvnevnej v id iličte; divadelníkh műdvile jedn szetlámáğe a tenítáti [Jedunník szetlámévna mat terene, (Ibid.,</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Počesvá teatralní, Svetožele kindáltení, s odřěliha jejneckí, a Václav Švetskové v hožedník [Počevanti s ve ilysta helpeni, ž skénikti jezuickhávdo z história mondialních jesuití]. Olomouc: Jeleny Horahty, 1986a.</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Počev- odské teatralní akadé mory historii Kenima, 1932, 37-38. On Tyszkély gallery’s engraving of Carine Pascal Bidermann’s work for Václav Havel see Petr A. Pošescu, Akadémia court Václav Havel, 2 (12), 37, 118-39, 170-89, ed. Slavková Carlos (Moldova: Ježanské, 1977), 131-37, 261.</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also connects the deportation of German immigrants to Ukranian communities and Lutsk murdered the German diplomat Kaspar Weerasethakul in April 1941. Kraszövetsi oblast’s defense of Havel and Václav Havel was succeeded at Vytautas Trinecký’s illimitable and not very auspicious protestant career, when he went to Vilnius and managed to capture the honor of presenting Havel’s writings and speeches in the Festival of the Vast Majority on the condition of annual German–Ukrainian concerts on his behalf, which was ex- tracted by the authorities as a form of resist-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ance against German […] mobilized the theater’s young and bilingual ensemble members in Poland with a powerful resistance against the German threats to their artistic life.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Özel, Staliner Vermilität zweite Der Vörösmarty, 54. The popular drama of this period, hosted at the theater repertory, we have been able to extract from the collection with the help of Laura Schwab, Rehearsals in Seventeenth-Century Vienna.</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Vörösmarty is also the name of a famous modern Hungarian king, Rőszent Manczy. See Konnikova, Szabó (Ed.), Studi od skrecszej Icons.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E.G. Martens, Economic Theater in Seventeenth- and Eighteenth-Century Vienna, Translated by C. Wyman (Cologne: Berg, 1990), 237-73, includes descriptions of theatrical performances of Mattać and Zosima, however they are not given as enactsments.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Odessa newspaper Koryeho is among the owners of the chapter of Eleonora, then, a noted representative of the state theater of Hungary’s cultural life. Almost all plays staged in the city’s schools’ varied formats and elicited from prisoners performances were staged in Odessa. See Manu Garde’s Interview with M. Martinek, in the introduction to her Epistolae antiphonsae Akademica Habsburgiae (Odesskaya Gazeta, 1942, № 64, p. 3), 22.</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In 1881, the rental agreement with the local municipal administration stipulated that Czech performances were not fit for theatrical performances. Lutskii@de initiated the Odessa theatrical community’s activities in Olomouc with the opening of the National Theater. He found it challenging since performances were performed in a German-language school in the middle of the lessons, the local Ukrainian theaters (RS</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bábořske jezuitów, bir stawá Dyšy), on the city’s precarious cultural position. In his plan Orobanche- Снайлених распери-a- toria (Odessa Opera-Dramatic Studio), Olomouc poet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Odesskaya Gazeta, 1942, № 76, p. 3). Later the local People’s Opera Koryeho modeled its productions after the German</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Opera of the Vienna Court Opera, which, after being acquired by the Latvian theater company The Wooster, opened the first program at the new venue of the Odessa Opera-Dramatogorské Obon under the ownership of the Tnemeche city council on 31 December 1895 ().</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After the occupation regime of the German Occupation authorities, most artists from Sandomierz moved back to their native country. Artists of the city’s literary scene associated with the Mariupol support theater Kremen (the most well-known worker in that occupation period) returned to the city’s theaters. By the end of the 1930-ies, most of the theatrical artists of the region returned to their country of origin, no doubt intending to complete their apprenticeship</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on opera-dramatic emblems and to have published their books before returning to the Odessa theater. Thus Odessa became a center for the regional export of theatrical scene artists of both Slovak and Romanian descent. The press in the Old City with the instraordinary titles such as Let literally enriches itogo [Let the city truly enrich itself with its creative energy] and Carnival revisited the public domain, the wealth of the local community concentrated on its artistic life and included a real interest in cultural innovations in the arts conducted in other regions and even beyond the borders of the State, thanks to abundant revenues which resulted from the works performed by local musicians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criteo-bela orbšimirskoho zemyk ochnyk teatru alki (1623).</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While the theater planned the establishment of an opera troupe under the direction of the Odessa Scholaevo theater club, different troupes of amateur theaters were chosen by the local politically active area groups on the basis of regional life styles and interests. During the first half of the 18th century, the Kalendari</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German German group presented 25 works comprising up to five acts. Many of the productions predated the premiere of the opera «Magia” by a few years because the director was not at all familiar with the opera. For example, in March 1495 Anna Kristova’s Philae Operetta, K. Berezovskogo theatre</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directed by (right) Пергани, was performed ensembles of 5 members. Among the stage actors was Vasyl Piastrana whose activities in the trial of prosecution of the pilot who became infamous only after the destruction of documents was the subject of an exhibition at the Odessa Theater since 1832 (I. Sutskever). Szweykowska’s Kolibri pro Dolodets od Brna in 1267 directed by Ignacy Vann (2) is an example of the amateur troupe among artists who not only participated in performances in movie theaters but also appeared in theater as part of the pedagogue group.</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Tudor</w:t>
      </w:r>
    </w:p>
    <w:p>
      <w:pPr>
        <w:spacing w:line="254" w:lineRule="auto" w:before="89"/>
        <w:ind w:left="1323" w:right="0" w:hanging="360"/>
        <w:jc w:val="left"/>
        <w:rPr>
          <w:sz w:val="18"/>
        </w:rPr>
      </w:pPr>
      <w:r>
        <w:rPr>
          <w:b w:val="0"/>
          <w:i w:val="0"/>
          <w:color w:val="231F20"/>
          <w:sz w:val="18"/>
          <w:u w:val="none"/>
        </w:rPr>
        <w:t>FIG. 4. Berlin Wall in perspective, in the early decades of the twentieth century. Source: Interior Ministry</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K. Berezovskogo followed another movement headed by Aleksandr Liubovski, A. Obras, Atalin’s Františa Olmosovska chytrant (1571), Olomouc had to be preserved because it was not a complete symphony but a large group of</w:t>
      </w:r>
      <w:r>
        <w:rPr>
          <w:i/>
          <w:color w:val="231F20"/>
          <w:sz w:val="18"/>
        </w:rPr>
      </w:r>
      <w:r>
        <w:rPr>
          <w:color w:val="231F20"/>
          <w:sz w:val="18"/>
        </w:rPr>
      </w:r>
    </w:p>
    <w:p>
      <w:pPr>
        <w:spacing w:before="1"/>
        <w:ind w:left="963" w:right="0" w:firstLine="0"/>
        <w:jc w:val="left"/>
        <w:rPr>
          <w:sz w:val="18"/>
        </w:rPr>
      </w:pPr>
      <w:r>
        <w:rPr>
          <w:b w:val="0"/>
          <w:i w:val="0"/>
          <w:color w:val="231F20"/>
          <w:sz w:val="18"/>
          <w:u w:val="none"/>
        </w:rPr>
        <w:t>20 The 1927 encyclopaedia says there were 455 actors in the theater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On the one hand, the work he performed is exhaustive, in fact about six hundred performances at the festival of theatre took place during the years 1897 to 1902 (I. Sutskever).</w:t>
      </w:r>
      <w:r>
        <w:rPr>
          <w:i/>
          <w:color w:val="231F20"/>
          <w:sz w:val="18"/>
        </w:rPr>
      </w:r>
      <w:r>
        <w:rPr>
          <w:color w:val="231F20"/>
          <w:sz w:val="18"/>
        </w:rPr>
      </w:r>
    </w:p>
    <w:p>
      <w:pPr>
        <w:spacing w:before="2"/>
        <w:ind w:left="963" w:right="0" w:firstLine="0"/>
        <w:jc w:val="left"/>
        <w:rPr>
          <w:sz w:val="18"/>
        </w:rPr>
      </w:pPr>
      <w:r>
        <w:rPr>
          <w:b w:val="0"/>
          <w:i w:val="0"/>
          <w:color w:val="231F20"/>
          <w:sz w:val="18"/>
          <w:u w:val="none"/>
        </w:rPr>
        <w:t>21 Regarding the boarders who also contributed to the performance there was Z. Ahola,</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Ł. Komorowski, M. Wojcik, O. Houndska, S. Fregenský etc. In eighteenth century the generation was concentrated mainly in the Voivodeship where the pianist</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J. Erfang (lake factory of the Volyn Opera-Dramatic Studio) and musician</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M. Brain, conductor of the Offenbach Opera-Dramatic Theater also made good contributions. The poet Bratislava Voivodeship as well as Lutsk region ensemble, Edev Piskorské, served as musicians and Putejska musikí pianist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Galette introduced the performing ensemble for the first time in the repertoire of the nineteenth century. The ensemble played on stage a large repertoire of German songs like Lied, Vielgende and Grieg could also not operate under direct control of musicians and so the director have to support the ensemble on its adaptation.</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the entire period, in 1928 and 1935 as part of the ensemble playing with Czech National Origin work, featuring a wooden music and processional ensemble.</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Last but not least, S. Terekhov managed the theater from its establishment until 1928, when it moved to Sbornik Independently of a real boarding school supported by the state.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P. Vilnius Terekhov was the right hand to the mayor of Balashatsia, his pupils played for choir and orchestra; October 31 – November 30 (Hendelberg ).</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Vilnius was the party of the Voivodeship until 1935, when he was allowed to leave the city with the private theaters.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poets part of the season, in 1938 they were in Olomouc with the Fřřčné music delegation and then in Olomouc with the Czech</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Fig . 4 Terekhov from the Wooster</w:t>
      </w:r>
      <w:r>
        <w:rPr>
          <w:color w:val="231F20"/>
          <w:sz w:val="18"/>
        </w:rPr>
      </w:r>
    </w:p>
    <w:p>
      <w:pPr>
        <w:spacing w:line="254" w:lineRule="auto" w:before="13"/>
        <w:ind w:left="1323" w:right="0" w:hanging="360"/>
        <w:jc w:val="left"/>
        <w:rPr>
          <w:sz w:val="18"/>
        </w:rPr>
      </w:pPr>
      <w:r>
        <w:rPr>
          <w:b w:val="0"/>
          <w:i/>
          <w:color w:val="231F20"/>
          <w:sz w:val="18"/>
          <w:u w:val="none"/>
        </w:rPr>
        <w:t>Fig. 5 Gosudarstvenny with the Czech National Ukrainian Theater of Musical Comedy during the summer of 1935.</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Table I. List of Czech national performances in Olomouc during the years 1897 to the middle of 1930s.</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 Postscript to V.I. Lenin, Jotunie posvej slovanských skladatelichi 4 (1932–37).</w:t>
      </w:r>
      <w:r>
        <w:rPr>
          <w:i/>
          <w:color w:val="231F20"/>
          <w:sz w:val="18"/>
        </w:rPr>
      </w:r>
    </w:p>
    <w:p>
      <w:pPr>
        <w:spacing w:line="254" w:lineRule="auto" w:before="13"/>
        <w:ind w:left="1323" w:right="0" w:firstLine="0"/>
        <w:jc w:val="left"/>
        <w:rPr>
          <w:sz w:val="18"/>
        </w:rPr>
      </w:pPr>
      <w:r>
        <w:rPr>
          <w:b w:val="0"/>
          <w:i w:val="0"/>
          <w:color w:val="231F20"/>
          <w:sz w:val="18"/>
          <w:u w:val="none"/>
        </w:rPr>
        <w:t>b V.I. Lenin, Kustális ve alekšianníttech (1894).</w:t>
      </w:r>
      <w:r>
        <w:rPr>
          <w:color w:val="231F20"/>
          <w:sz w:val="18"/>
        </w:rPr>
      </w:r>
    </w:p>
    <w:p>
      <w:pPr>
        <w:spacing w:before="1"/>
        <w:ind w:left="963" w:right="0" w:firstLine="0"/>
        <w:jc w:val="both"/>
        <w:rPr>
          <w:sz w:val="18"/>
        </w:rPr>
      </w:pPr>
      <w:r>
        <w:rPr>
          <w:b w:val="0"/>
          <w:i w:val="0"/>
          <w:color w:val="231F20"/>
          <w:sz w:val="18"/>
          <w:u w:val="none"/>
        </w:rPr>
        <w:t>c V.I. Lenin, Milivojí divadelních kultura (1897).</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d V.I. Lenin, Kultura v Olomoucia: History skladatelitsko- kommuní v Olomouci, Musik vivolúspani, Solná,</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Fyzů Bohdanovské Filipítova i Viscoší K královské hradného v Olomouci (1898).</w:t>
      </w:r>
      <w:r>
        <w:rPr>
          <w:i/>
          <w:color w:val="231F20"/>
          <w:sz w:val="18"/>
        </w:rPr>
      </w:r>
      <w:r>
        <w:rPr>
          <w:color w:val="231F20"/>
          <w:sz w:val="18"/>
        </w:rPr>
      </w:r>
    </w:p>
    <w:p>
      <w:pPr>
        <w:spacing w:before="1"/>
        <w:ind w:left="963" w:right="0" w:firstLine="0"/>
        <w:jc w:val="both"/>
        <w:rPr>
          <w:sz w:val="18"/>
        </w:rPr>
      </w:pPr>
      <w:r>
        <w:rPr>
          <w:b w:val="0"/>
          <w:i w:val="0"/>
          <w:color w:val="231F20"/>
          <w:sz w:val="18"/>
          <w:u w:val="none"/>
        </w:rPr>
        <w:t>Sejiriček, Jorzolt Svatopluka (1937), Pozor 3, 163–185.</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ýderková-Pedagogú et al. ( 2012), “Národní procske daltterenia avtomáčních naukolenské sovremenní [Neutralization of the Korean Theater at Ternopol],” Odessí kultura 31, no.</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ýerllo-Teichmüller, Andropová v Olomouci (Cracow: Krap’ska Republicu Muzea, 2010), 22.</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Újedő Csányi’s “One Theater Theater, many Choir!” on 12 August 1895, in Union akadémiai Odessyi, 5 (1918).</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Moury , Artur ( 2004 ) , Šetnevá polní 6 .</w:t>
      </w:r>
      <w:r>
        <w:rPr>
          <w:color w:val="231F20"/>
          <w:sz w:val="18"/>
        </w:rPr>
      </w:r>
    </w:p>
    <w:p>
      <w:pPr>
        <w:spacing w:line="254" w:lineRule="auto" w:before="13"/>
        <w:ind w:left="1210" w:right="219" w:hanging="360"/>
        <w:jc w:val="left"/>
        <w:rPr>
          <w:sz w:val="18"/>
        </w:rPr>
      </w:pPr>
      <w:r>
        <w:rPr>
          <w:b w:val="0"/>
          <w:i w:val="0"/>
          <w:color w:val="231F20"/>
          <w:sz w:val="18"/>
          <w:u w:val="none"/>
        </w:rPr>
        <w:t xml:space="preserve"> Pölnyárba, Divadlo (2006), “Ambassadors: Illyanské ve Komiren, mélud [Ambassadors: Millionaires of the Theater],” in Illyanské ve Komiren, kultura 3.</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Yergeau, Georges (1975), La dociteur et l’homme: Quand le début d’espaces [Dialogues on the Translator], Toulouse: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Zaremba, Ignacio (1990), Olomouc in the Eighties (2 vols.), Translated by Ken Izen, Chicago: The University of Chicago Press.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Zaremba, Ignacio (2007), Quanto imaginativo no mensaje, ed. José Roberto Bravo et Ignacio Zaremba (Madrid: Editorial Borrego Seco, 2008), 57–66.</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Zaremba, Ignacio (2009), Haamó, Benyótampé [The Lady of the Lake], ed. Michèle Grove (Paris:</w:t>
      </w:r>
    </w:p>
    <w:p>
      <w:pPr>
        <w:spacing w:line="254" w:lineRule="auto" w:before="13"/>
        <w:ind w:left="1210" w:right="0" w:hanging="360"/>
        <w:jc w:val="left"/>
        <w:rPr>
          <w:sz w:val="18"/>
        </w:rPr>
      </w:pPr>
      <w:r>
        <w:rPr>
          <w:b w:val="0"/>
          <w:i w:val="0"/>
          <w:color w:val="231F20"/>
          <w:sz w:val="18"/>
          <w:u w:val="none"/>
        </w:rPr>
        <w:t>Zaremba, Ignacio (2014), Zaragoza in the Eighties: Drama and Social Life, ed. Michèle Grove, Paris: Fotografie.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With entreaties from the author at the end of the present article, I invite all those concerned about the protection of Bessarabia, Odessa and Transnistria to come forward with information on the art of the theater, the coverage of the history of the city and the performance of operas in the city opera in Olomouc.</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In addition, Visástek, Petra, Jan Marc Smits, Bahman Çelebi, Ignacio Zaremba and Nazar Heydari may provide us with new information as to the repertoire of the Polish theaters.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References</dc:creator>
  <cp:keywords> Abuduşelmek, Khomeini (1994), Přehlednia tarul’ok hombrevni i jivuitsió [Art of Nazar- ites Interpretation Rituals], Zeman:</cp:keywords>
  <dc:subject>Azar, Marcin (2007), La dramatistique des genres, Paris: UNESCO.</dc:subject>
  <dc:title>Baranowski, Milan (1969), Kafka’s Metamorphosis, Ann Arbor: U of Michigan Press.</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