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2 Choice Columns</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Choice 1 Column Choice 2 Column Choice 3 Categorization</w:t>
      </w:r>
      <w:r>
        <w:rPr>
          <w:color w:val="231F20"/>
          <w:w w:val="95"/>
        </w:rPr>
      </w:r>
    </w:p>
    <w:p>
      <w:pPr>
        <w:spacing w:before="41"/>
        <w:ind w:left="0" w:right="108" w:firstLine="0"/>
        <w:jc w:val="right"/>
        <w:rPr>
          <w:rFonts w:ascii="Arial"/>
          <w:sz w:val="14"/>
        </w:rPr>
      </w:pPr>
      <w:r>
        <w:rPr>
          <w:b w:val="0"/>
          <w:i w:val="0"/>
          <w:u w:val="none"/>
        </w:rPr>
        <w:br/>
        <w:t>4 Y-axes and Y-axes of self-esteem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Columns 2 and 3 Column Choice 4 Self- appraisement of fear severity</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Columns 1 and 2</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R1 Meaning of subcategorization</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Comment</w:t>
      </w:r>
    </w:p>
    <w:p>
      <w:pPr>
        <w:spacing w:line="184" w:lineRule="exact" w:before="0"/>
        <w:ind w:left="963" w:right="0" w:firstLine="0"/>
        <w:jc w:val="left"/>
        <w:rPr>
          <w:rFonts w:ascii="Arial"/>
          <w:sz w:val="16"/>
        </w:rPr>
      </w:pPr>
      <w:r>
        <w:rPr>
          <w:rFonts w:ascii="Arial"/>
          <w:color w:val="231F20"/>
          <w:sz w:val="16"/>
        </w:rPr>
        <w:t>a 1 Scalar – means categorical variable</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In the tests of agreement, R1 encompassed the highest rate of agreement, with only 2 out of 177 disagreements. Regarding the subcategorization, ratings of “a little”, “fairly fair”, “satisfied to some extent”, “not very satisfied”, “strongly disagree”, “strongly agree”, 1, “strongly disagree”, 0, “strongly agree”, 0 percent agreeing was a particularly strong category. In the case of evaluating the categories of disliking, “a little”, “fairly fair,“satisfied to some extent, not very satisfied” and “not very satisfied” are the most relevant for these two subscales.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b 2 Scalar – means pareto cross-entropy statistics</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 xml:space="preserve"> In the case of the categories of informationfulness, the highest endorsement figures for the corresponding variables presented in Table are the presence ratings for “comfortable”, “judgable”, “truthful”, “expertly written”, “well-written” and “hip”. The rating of “expertly written”, “very well-written” was the weakest category, and the rating of “informal” was, surprisingly, the highest because the higher the rating of “informal” was in most of the scales, it was approached the highest in terms of agreement.</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 Marginally agreed.</w:t>
      </w:r>
    </w:p>
    <w:p>
      <w:pPr>
        <w:spacing w:line="261" w:lineRule="auto" w:before="16"/>
        <w:ind w:left="963" w:right="342" w:firstLine="0"/>
        <w:jc w:val="left"/>
        <w:rPr>
          <w:rFonts w:ascii="Arial"/>
          <w:sz w:val="16"/>
        </w:rPr>
      </w:pPr>
      <w:r>
        <w:rPr>
          <w:rFonts w:ascii="Arial"/>
          <w:b w:val="0"/>
          <w:i w:val="0"/>
          <w:color w:val="231F20"/>
          <w:w w:val="95"/>
          <w:sz w:val="16"/>
          <w:u w:val="none"/>
        </w:rPr>
        <w:t>** p &lt; 0.01, Duncan’s post hoc multiple comparison test of SPSS statistics (contrasts: p &lt; 0.001).</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presents a significant increase from the subjects’ original sense of “fair” (CFF) score, where the highest endorsement was given to “good writing” (74.7 percent), whereas the scores of “offertory beauty” (72.4 percent) and “memorable poem” (71.9 percent) were considerably higher than those shown in Table 2.</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Table 2. Aspect ratio scores (C*F, d2) and average scores (A*F) for demographic and general questionnaire variables.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Last, and significantly, the average of the categorical scores under consideration is more than twice as high in “awareness of our work” then in “cultural competence”. This can be explain“s by the fact that in the former scenario, the perception of the quality of a written piece is the most important criterion, not only in the strict sense but also in the understanding and appreciation of a life lived in style. This phenomenon, during the initial and exploratory phases of a project, strengthens emotional connections that can lead to the recognition of priorities, trends and basic concepts. The positive experience in the creation of a truly emblematic work (except in selected “researched</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holistic” projects, which are under development) can provide more solid foundation for allowing our sense of authenticity to prevail. The rating of “originality”, which is, correctly, the weakest category of the three scales, is correlated negatively with the scale of “cognition of style and its associations” in the context of artistic creation. Although scores of different artists individually do not correlate so strongly, artists, who develop their own creativity, also have different tastes and resist following different tastes. This is especially true when it comes to language choice (for example, in the case of those with more experience with German language). The variable “frequency of “reading of work” (C*F), which follows directly from the two weighting scales mentioned earlier, but with a different meaning from the other two, also tends to follow the similar regression patterns.</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Table 3. Correlations between subjective variables (category IV) and categorical objective variables (C*C) measures from the single continuous measure of subjective well-being (Berevering scale–C6–C50; ).</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selected “back-to-learning” approaches to improve personal and workplace knowledge. To the best of our knowledge, the BHRI has only been institutionalized in Turkey, in a major German city, since 2015. Although there are informal BHRI centers in Munich or Essen providing some training in nonfiction and translation (to benefit university teaching and research needs), there are few formal programs dedicated to creating and maintaining active dialogic networks amongst educational researchers. Successful dialogic networks are crucial in the development of an audience amongst student and everyday population (; ).</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theater in education can be instructive, instructive not only for the teaching of nonliterary languages but also for the theater as an instrument of disseminating knowledge in the subject area of literature, and in particular in our field. It allows students the opportunity to develop a critical development process and is a viable and long-lasting alternative to formal education. The possibilities are considerable: engaging in learned drama in the classroom, creating interpersonal drama, promoting literacy in pupils through dissemination of cinema and performances in host schools.</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We translated all of the excerpts from In Search of Meaning and 2182 to A Space to Speak, and no part of them was changed for this article. See, for example, T. Bai and R. Caves, “Singing and translating: new treatments of an ancient musical genre,” In The Acoustics of Sanctified Sounds, ed. W. Liddell and L. Stewart (Baltimore, MD: Johns Hopkins UP, 2016); D. Hadley, ““Translating—the BAAS,” In The Voice, ed. W. Kittleman and S. Loudon (Armonk, NY: Cornell UP, 2008); P.-L. Lee and D.-Y. Chia, “A participant perspective: research design, data curation, and analysadisation,” Theatre Journal 25 (2010): 249–278; and “Translating—the BAAS2,” International Journal of Music Research 10 (2012): 35–72.</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J. Katsadouros, S. Kekalaki, K. Koutsouros, and S. Papastathopoulos, “Language as epistemic scaffolding:</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Introducing and Analyzing the Research Context</w:t>
      </w:r>
      <w:r>
        <w:rPr>
          <w:rFonts w:ascii="Arial-BoldItalicMT"/>
          <w:i/>
          <w:color w:val="231F20"/>
        </w:rPr>
      </w:r>
    </w:p>
    <w:p>
      <w:pPr>
        <w:pStyle w:val="BodyText"/>
        <w:spacing w:line="249" w:lineRule="auto" w:before="122"/>
        <w:ind w:left="850" w:right="222"/>
      </w:pPr>
      <w:r>
        <w:rPr>
          <w:b w:val="0"/>
          <w:i w:val="0"/>
          <w:color w:val="231F20"/>
          <w:u w:val="none"/>
        </w:rPr>
        <w:t>Theory 2182 is based on Dialectical versus Analytical approaches (Erikson,, ). It is aimed at helping actors and students to access, categorise, and organize phrases and meanings in a way that creates a dialogic communication by clarifying concepts and providing opportunity for difference of ideas. The context enables dialogic communication and the actors become advocates for the things that they come across during dissemination (Maxfield et al.,, ).</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 xml:space="preserve"> Theater-as-research facilitates dialogue. The relevance of performance in teaching strategies, building self-confidence, enhancing understanding of others, lowering anxiety, generating positive thinking, enhancing empathetic skills, recognizing biases, detecting self-doubt, and strengthening cooperation within groups (Patten et al.,, ). It also encourages students to be responsible for their own professionalism, including through the identification of professional standards within their own professional environments. The importance of art-as-role is alluded to by Boyle (), who states that theatre is “[a] means of sermonising on the Word through action” (p. 8). The ensemble within performance is the means of disseminating words (Quam, ).</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24 According to (Upson, ), the issue of estrangement may be at the crux of the ethnography itself. INFPs attach an estrangement feeling to situations that they associate with, seeming repressed and unable to express themselves fully or expressively. On stage, they “are conditioned to appear familiar and then be portrayed as somebody completely new” (Cattell, p. 326). Thus, the most intimate social interaction might be inversion of estrangement as the performers (inverted) remain unchanged and untranslated for the audience (e.g. 1/2). (Upson, ; Upson and Robinson, ; Thompson et al., ; Pickett and Young, ; Upson, ).</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There are positive roles for performing arts professionals in teaching/learning using ethnography, as demonstrated by the experience of The Village Voice (Varney, ). Performative exercises are extremely impressive, enabling performers to examine their own stereotypes, stereotypes that impede communication and interaction abilities, and that collide with their own in ways that leads them to become isolated and passive (Pickett, ). For the school people, who are in trance (waiting on Mother/Dad/Reluctant, ) the exercises plant the idea of “structured partnership” with performers.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The gradual (going on) and constant (increasing) insertion of the performers into the school which creates a tolerant educational environment useful for the educational process of the students while make it realistic and sensible for performance. The sharing of both creative and analytic ideas (intentional thought) enhances students' selfconfidence. In contrast to other studies, (Eastman,, ). Gaventa and Stiglitz () explored a theoretical framework of the value of “authenticity” in learning based on the theory of “truth” in theater, where none of the hypotheses were found “intuitively” or “at the same time” since the students recite their first lines of dialogo-analysis (to) learn a relationship between the background sound and the next lines of dialogos, i.e., the flow of characters, emotions and themes, making it transparent only with an occasional slide back in order to hide emotional inequities through the subtle subtleties of the meanings and frames embedded.</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25 In this case study, only two undergraduate actors were invited to play De Paco, although performatively 16 performances of different parts were performed. At the same time, several teachers took part in the workshops specifically dedicated to understanding the general framework of the academic theaters, and most of the performances took place together with the actors. The biggest concept that emerged during the performances, however, was the interactive role of Paola, the therapist, who was needed to communicate and reason with the children and even give them their own perspective on the performances. Applied ethnography as a tool aimed at giving insights of the difficulties faced by the professional actors demands a transference of this process as a mechanism of transformations. Consequently, the artistic performances of the performance, which had one-to-one dialogic rapport with the audience were also perceived as incidents in a collective interaction (direct discussion), which leaves room for a facilitator role, as shown by the repeated use of gestures and lots of shots of the actors and actresses.</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Graph 6. Examining the importance of context in the theatre audiences, we look at the deﬁning factors, which include factors such as vocabulary and titles (Szele 2008) and the last words (Wernet and Rapson ). In life-setting scenarios, the pure content, technical sound, vocabulary and beauty are closely related, while the syncretic features, emotional expressiveness and unexpected</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26 Sommerville and Fink (2017) define sound and clarity as values defining a dichotomy of pure, affective, believably alive, symbolic and cohesive, which go together in a piece of media to create a perfect mix of the three, with worth not only a dramatic spectacle but also an emotional one, an identikit</w:t>
      </w:r>
    </w:p>
    <w:p>
      <w:pPr>
        <w:pStyle w:val="BodyText"/>
        <w:spacing w:line="249" w:lineRule="auto" w:before="1"/>
        <w:ind w:left="963" w:right="107" w:firstLine="240"/>
      </w:pPr>
      <w:r>
        <w:rPr>
          <w:b w:val="0"/>
          <w:i w:val="0"/>
          <w:color w:val="231F20"/>
          <w:u w:val="none"/>
        </w:rPr>
        <w:t>and an impactful performance. Sharp concretizes this theme by using references from Spector’s observation that something is “a difference in diction and local emphasis between ‘pure’ and ‘intimate’” type performances (Sommerville and Fink ). Therefore, the “huge variability in quality” that occurs in different genres of performative art including drama, theatre and song lends itself well to a Gestalt analysis of its offerings.</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An analysis based on the ﬁrst piece identified psychological principles as two of the largest: personal meaning and aesthetic appreciation. Personal meaning relates to perceptions of the personal the performer seeks to convey. An aesthetic appreciation concerns the spectator’s conﬁdence with what she witnesses, how the visuals relate to the content and connect with the text. Having understood these lines in relation to their impact on one another, we can consider that when a playwright released images on stage in order to evoke feelings and emotions audience-based definitions determine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them as affect. In order to renew their connection with this enigmatic text so as to enhance the affect of the piece, an interlinear strategy is utilized to connect their experiential acquisition to its referentual or locational challenges. Figures 7 and 8 shows, first, an interlinear approach to determining the text’s qualities such as story, plot, atmosphere and characters. The low points within the texts include themes of power, powerlessness, exploitation, war, exploitation, and oppressiveness. The high points for audience-based evaluations of a play include emotional resonance, emotional connection and meaning in the viewer’s eyes.</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In the belt, the speech and music lyrics within a text may be heard step by step, while a director plots out to get in the audience’s line of sight. One way to bring audience attention to the lyrical content is to have dancers fasten several strands to the strings in order to raise the eyes of the audience in a dance-like fashion or to cause gesticulation onto the strings to convey a sense of security. Other methods are to include rhythmic intensification, stylistic rustic or dramatic rhythmic punctuation in order to add depth to the text. As the movement style may vary, as has happened</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Figure 7. Interlinear strategy for telling the story.</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Figure 8. Interlinear strategy for assimilating findings into the musical score.</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Increasing attention to the same principle, the instagram posts made by consumers of a specific dramaturgical play consistently revealed differences in their perception of artistic merit and accuracy. In this respect, that instagram post of “comedic” kaoka (music attributed to kaoka or traditional theater) “Our main character is neither ugly nor vain, where as his sister is pretty and ambitious. At the end of the day, I cannot help but feel that his loving nature has been thrown away because he is different.” reading the instagram post consistently correlated with the mood and the temperament of the consumer. This observation might also be observed in the “acting” component which includes actions or incidents to be performed theatrically</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Figure 9. Improvising with numbers.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as well as explanatory gestures to further generate emotions. For instance, “3.78” signifies “not too bad” but also raises awareness about balance and coherence between cycles of performances with varying deﬁnitions. It allows the audience the opportunity to continuously link affect and affective meaning so that it goes deeper to establish solidarity with the story they have just witnessed. In order to reenergize the beat, a dance style is composed which presents pieces of music with rhythms in exact parallel with theatrical ones including “current time” as a common benchmark to identify the prevailing tempo.</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Although Instagram clearly shows many dimensions of affect in the growth of social media, “fun” is more often used as an adjective to describe the emotional reactions elicited because it is perceived as excessive and repetitive even though music can be the centre of human activity.</w:t>
      </w:r>
    </w:p>
    <w:p>
      <w:pPr>
        <w:pStyle w:val="BodyText"/>
        <w:spacing w:line="249" w:lineRule="auto" w:before="2"/>
        <w:ind w:left="963" w:right="107" w:firstLine="240"/>
      </w:pPr>
      <w:r>
        <w:rPr>
          <w:b w:val="0"/>
          <w:i w:val="0"/>
          <w:color w:val="231F20"/>
          <w:u w:val="none"/>
        </w:rPr>
        <w:t>A broken mirror test which evaluates subjective mirror neurons (how the human being begins to perceive the other person), has three features in common with the opera in games discussed in the previous section. First, the two askthe general public to replace their own reality with their imaginary world or their own opinions with the objectively formed reality presented by others; in our case, imagining an alternate universe to our own takes us beyond our own reality.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Secondly, secondary to intent is a tendency to pay less attention to the superficial presentation of a</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«perfect show» attributed to the playwright rather than to the relationship between the characters or the plot. Users may imitate these superficial performances which, at the same time, turn the theory of the acting-art as to spontaneous flexes into an information machine. For instance, “musical” non-royal trials and pantalism which use particular combination of music and scenes are analyzed by forum members in order to develop their analysis skills concerning coincidences and spins, segmentation between emotions, and translation of meaning depending on the patterns and grounds of induction. As well, as implicitly rewarding imitation and referring to fictitious principles for other people, the forum members deliberately adopt superficial behaviors and responses to the shows’ technical crude logic also promote a mania for the performance.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We have also observed how Instagram brings together two distinct areas in the entire social networking system. Amongst the related topics like “Way-back” internets include video like pictures and entertaining open-source</w:t>
      </w:r>
      <w:r>
        <w:rPr>
          <w:i/>
          <w:color w:val="231F20"/>
        </w:rPr>
      </w:r>
      <w:r>
        <w:rPr>
          <w:color w:val="231F20"/>
        </w:rPr>
      </w:r>
    </w:p>
    <w:p>
      <w:pPr>
        <w:pStyle w:val="BodyText"/>
        <w:spacing w:line="249" w:lineRule="auto" w:before="2"/>
        <w:ind w:left="850" w:right="221" w:firstLine="240"/>
      </w:pPr>
      <w:r>
        <w:rPr>
          <w:b w:val="0"/>
          <w:i w:val="0"/>
          <w:color w:val="231F20"/>
          <w:u w:val="none"/>
        </w:rPr>
        <w:t>20 Audience with container on applause lines, and audiobooks and the ingoing postgame conversations via stories posted on SpiderOak, and other related topics such as Improv meetups, video and stage discussions, anger management news, shopping and camping” and others. Instagram has “virtually unlimited storage” and has “immersive features such as live video and still images" by means of built-in cameras with better sensors (see ). Instagram emphasizes personalization, dimensionality among online publics and systematic quantification. The “metamorphosis of taste and interest” between public and private is between “fungalified reality(s) directly connected with theatrical performance” (Burellega et al., ). After being shown large photos and videos of Instagram Gardens by Twitter engineers in redaction, we found that “only 30% are familiar with Instagram” (Erb et al., ).</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As remarked before, “When we performed our paper, critics used Instagram to attract attention on the microsite.” (Erb et al., ). As a result, directing the instagram accounts photos, videos and webpages were soon a judicial tool to find the factual background to all images or pro- or con of performances as well as to highlight the “real words” of the spoken act. And as a secure and visible publication for the enunciations of communicative acts are strategically intended keywords. As “access control” is one of the keywords not only for registered Instagram users at a single webpage but also for public tools, the public should be aware of other important keywords. Another search tool for performance-bloggers was “anticipation analysis” (Burellega et al., ). Analyzing these keywords directly protected “scenarios” of the performance were shown on the microsite with multivariate analysis. The analysis enabled making predictions and predictions the visitors of the Hungarian public. This led to an agreement to the creative process in generating an overall approche of a performance. Finally, hashtags are a latent tool for “any group” (O’Sullivan et al., ). Besides taking control, hashtags have always been under attack from “social engineering tools” including among the instagram users indirectly involved into the web-site embedding the messages on wordcom, basic the embedding and moderating the embedding (a common practice in social media sites) and effective HTML</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10 A playwright and producer can work on the same project and delivery it to the public later through direct sales and ads, and also have prospects to sell theater tickets (Puri, ).</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21 The result is that in all theaters, whether they are not in a competition or not, there are disintermediated, informal and potential indirect user dating of performances. This leads to the existence of an art-based audience: The theater staff knows their time, the three elements of time, emotions, circulation of time display the behavior of the technology. The actors know their time, their understanding of it also reflects their behavioral distribution and time is organized through their words and their awareness of account profiles. Told like this, the decision to deliver art-based performances performed by translators in public spaces should be based on the assessment of whether it will result in the setting of the art appreciation in the audience.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Anne Tamney (1996) tries to apply her theory in the field of marketing of performances for cultural exchange to give an account on the theater of an adaptation producing the initial concept of a concept</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Conceptual Analysis of the Web-sites (Noncommercial) Analytics</w:t>
      </w:r>
    </w:p>
    <w:p>
      <w:pPr>
        <w:pStyle w:val="BodyText"/>
        <w:spacing w:line="249" w:lineRule="auto" w:before="121"/>
        <w:ind w:left="963" w:right="107"/>
      </w:pPr>
      <w:r>
        <w:rPr>
          <w:b w:val="0"/>
          <w:i w:val="0"/>
          <w:color w:val="231F20"/>
          <w:u w:val="none"/>
        </w:rPr>
        <w:t>Leaflet Summary Analytics: As mentioned earlier in this paper, among other criteria, we are interested to present the user findings and in-depth analysis of the web-sites related to the performance of Ta’ziyeh. The procedure of leaflet dissemination discussed in the previous section aims to reach the audiences instantaneously; existing means of disseminating an application can hardly be deemed by state media as a good idea to do so. Thus, through today’s efforts to collect information on the web-sites and how they use the technologies displayed on them, we are mainly interested to devise an understanding of the web sites (based on the means of dissemination) and to generate analytical models which can provide information to understand themselves all these characteristics more deeply and properly.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We want to analyze each of the facets of the theaters or theater performance in general. Regarding stage stage placement, location of the audiences, manner of performing the Ta’ziyeh, devices used in proscenium and inflections used regarding the spectators’ use of headphones, the stage height, the kind of lighting conditions. First of all, we will analyze the “pertinent attributes” of smart city based on my own and investigate the optimization of the smart city based on the afore mentioned.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Regarding stage location: The theater locations have a much effect on the audience’s behavior. Theater operators, who decide the most suitable venue to establish a stage, usually have relevant considerations. Among others, mountain ranges are generally investigated for great adaptability to the preferences of the audience. Additionally, its accessibility in many City Center are affected. In the Aegean Region, notably, Istanbul’s Çatalhöyük (Stage Theatre), commonly used a diazin (informal) stage near the Köyceğiz Park. So, the theater operators are able to cover many different types of reasons using this type of stage and have the choice to set different venues. In Lebanon, the most successful venue is Raba E Sheikh (Stage Theatre), which is situated about</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300 m east of city, in the city wall of Damascus. The other main places for theater performances are relatively close to city buildings and are located close to the Karatayat (the Turkish-controlled border), due to the hours of rising tem-peratures.</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Location of the audience: The audience are planning to visit a “virtual” medium of public events based on the number of spectators that will present themselves in the City. At the same time, the accurate estimation of the number of public events is also restricted by the fact that many elements in the data acquired by the STI, i.e. the characters being portrayed, the location, the screens being used and the location of the transactions, will not be the same for every theater, region and city. Accordingly, it is necessary to formulate an agreement among all of these elements to obtain accurate predictions.</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After gathering the information about the types of intermediary factors (i.e., users, location, screens, mobile devices) the theater owners can formulate possible solutions for this public-integration problem. The characteristics of “media usability” of the audience are important to understand the dynamic impact of the daily situation. In particular, important are the permanent structures, in terms of the type of products (books and pamphlets), the geographical location, the type of</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3.0 stream of visitors, dynamic road and sea transport modes, etc. The Center for Public Summit (CPS) coordinates the negotiations with the relevant authorities for adjusting the City’s infrastructure (The network of city infrastructure is integrated with the adaptive digital transformation revolution. The Egyptian government is implementing the target of meeting 20 percent of energy as renewable energy by 2030.22 Dubai aims to meet similar goals by 2020. The city has invested more than US$30 billion for expanded green spaces, urban parks, urban green structures,, and night scenes for Planet. Skyscrapers are built on flats or packed on corrugated strips stacked on movable stages.</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After defining the specific demands, the aforementioned theater stakeholders build their next project. The choice of the right actors, the stage design, equipment, the funding situation, the location of the market and the efficient communication system are considerations that influence the breakpoints of the rental agreement [protagonists cause an increase in the smart contract turnover using the cameras’ registration databases and benefit the stakeholders by receiving input from them].</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Present-day theater operators have many processes in place to deal with the policy challenges they face. Theater esthetic members estimate the market situation, monitor the network conditions, allocate funds to assure a good operation, prepare algorithms, find appropriate</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contracts, determine aesthetic judgments and offer the priority awards. They also conduct research into different marketing activities in order to find appropriate</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Figure 9. Framework of infrastructure development for sustainable presence in the Digital Realm.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Figure 10. Real-time dashboard of Total Adjacent City</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 xml:space="preserve"> Thematic service function consists of various specific real-time applications, such as comparison of projects, periodic updates of environmental data, forecasts, dispatching orders. The director of the theatrical support unit aims to add value by communicating the staging of the projects and by analyzing the programs materials. Union of theaters reports on the performances of the upcoming performances and assists the Ministry of Culture (MOC) through special periodicals. Web services give information to theater audiences about daily life activities occurring in D.C. The mobile applications produce exclusive content to appeal to the viewers. Mobility resources, such as free Wi-Fi using PSS, calendars, pictures and videos, happen in all fixed and movable infrastructure sites (roads, docking bays, parking lots, grandstands and earthen palaces) to assist the visitors.</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Figure 11. Average of hub cities 2018 versus the number of theaters, showing the distribution by sector (Photoshot: D.C. Council of Art Industries).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 xml:space="preserve"> Socioaffective Characteristics</w:t>
      </w:r>
    </w:p>
    <w:p>
      <w:pPr>
        <w:pStyle w:val="BodyText"/>
        <w:spacing w:line="249" w:lineRule="auto" w:before="123"/>
        <w:ind w:left="850" w:right="220"/>
      </w:pPr>
      <w:r>
        <w:rPr>
          <w:b w:val="0"/>
          <w:i w:val="0"/>
          <w:color w:val="231F20"/>
          <w:u w:val="none"/>
        </w:rPr>
        <w:t>The cultural sector region comprises 23% of the total investment into the City Analytics Lab. The resilience values for this sector are 61.94, 72.28, and 76.58 (Table 1). Comparing the local adaptive indices, the RCP8.5 targeted capacity factor is only slightly lower than the 2020 government planning goal (CD FY 2020). This is because the predictions of the Czech example refer to complex heterogeneous cities (Prague, Prague City ). On the other hand, the German example and the CAI projections emphasize adverse events in urban areas (). In Europe, the level of</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incidence of adverse events includes cardiovascular, respiratory, visual and haemorrhagic, nonmotor, and terrorist events (Hooper, 2013; Eurostat, 2008). Negative values for adverse event impacts are interpreted as adverse events which cannot be prevented and may lead to adverse events. Nonmotor events would include vehicular, pedestrian, and pest incidence (Robinson et al., 2017). The growth ratio for adverse events in the Czech example is 13.91 and in 2018 the CAI projection is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10.11 (Table 1). The transportation infrastructure consists of about 80% of the infrastructure development projects involving the use of infrastructure development tools. Other types of infrastructure like public, privately owned, and public developments are emerging in the Czech example as examples of infrastructure development involving infrastructure development tools (CFR, 2016). The Czech example results in 51 infrastructure development projects over 2018 with 45 public and private projects.</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Despite the influence of the Czech example, Greek scenery is the most developed theater genre in the Czech Republic. For the same sector, PSS differs from theater in its utility and usefulness through referring to more relevant and interesting images. The Czech example presented a service that offers the visual quality of high</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levels of light and shadows (combination of black and white), a deeper natural parameter and accurate and convincing sound (López &amp; Cátedra, 2007). According to the Czech example, the average utility of PSS is 81.45 while that of all the</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 xml:space="preserve"> government PSS is 82.52. Regarding the usefulness parameter, most of the Czech examples are longer because the utility of the utility values are not based on interesting images. The utility values are based on the average budget of public and private sectors, which confirms the usefulness of infrastructure development projects in the Czech infrastructure development case. To summarize the impact and impact of PSS on stakeholders' communication systems within the public and private sectors based on the Czech example, PSS has a moderate impact on the success rate of calls.</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Fig. 1. Total number of meetings of the public and private sectors for the years 2019-2020 (top); summer calender (bottom).</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the statistics</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lower than 35.94 in an infrastructure</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At least in the public sector projects, the utility values are on the average low because of low utility values of the utility function in initiatives by the mayor, auditor general, and transport and public works departments.</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permanent advantage to the item, and the utility function is how many establishments present the idea of the product. The average utility is low due to lack of significant increase or decrease in the number of merchants contributing to the usefulness of an application in a particular case (López &amp; Cátedra, 2007).</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precisely control the quickity with which an application functions, making the utility variable is low and</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Nc is the random coefficient that account for the influence of certain variables on the outcomes of decisions; when was last surveyed</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of security architecture a different utility value, it was lower than -0.23 (δg is the random factor with a confidence distribution coefficient, αg reduced as expected in our study).</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availability of the application’s features on the CMS. In the Czech example, the efficacy of gathering the utility values for the specific data for the specific application is low, because the application has some storage capacity that cannot support the future data stored in the infrastructure development of infrastructure development projects, making the application function poor in obtaining utility values. The majority of participants of the project were engineers and pharmaceutical supervisors. For the Czech example, the utility function of the proposed infrastructure development projects based on the infrastructure case is</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SDNMesh – 5.24; CP_DWServiceIntegration – 2.56; DPAServiceIntegration – 3.19; DPASpaceCity – 16.38, and InFTPathFrameworkSD – 15.89.</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Data monitoring. In the literature, all the countries of the world discussed it, for infrastructure development in 5G, we found that CA needs a large infrastructure development, because an infrastructure development project requires improving the functioning of infrastructure development systems having the infrastructure development support system (ISE):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of measuring the effective capability or performance of the infrastructure,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iteration of the best interoperability among the infrastructure development systems, adoption of the operabilities of higher performance infrastructure development systems.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For utility value, the reasons that show the high utility values are the complex of the administrative tasks required to determine if the project is successful in meeting these goals. As an example, there are several items that need to be tested, in the infrastructure development of infrastructure development to determine if the above-mentioned factors are met or not (). Visible useful useful life of the infrastructure development project is the useful life needed to establish a belt-tight link between functions and useful life, cross-fertilization of infrastructure infrastructure development and commercial sectors.</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5G edge computing. A 5G infrastructure development requires the establishment of 7 GPPs, which form a 5G network, which are usually, organized into geographic and time zones and meet the efficiency requirements of the specific population. According to the policy for the 5G infrastructure development,</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all the 5G solutions organized into an open standards (OFSTC5GUP), are developed in 2018, in 2020, or in 2020</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for the next 5 years (2019, 2020, 2G-PPP, and 5G technologies); however, the necessity for optimization of the network</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rate to meet the limit of resources, often the minimum required resource cap, has not been solved in the utilization of spectrum, even though the program office has</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officially published the constellation of spectrum for 5G networks. Therefore,, 2015 was the year in which the allocation of physical common carriers (PCCs), the competitiveness requirements of stakeholders have been checked and navigation bands of cellular base stations (CBSs) were considered, which enables to assign numbers of cell blocks together in long-duration long-distance connectivity. The value of large cell to enable the transmission of a signal from one cell to other cells should be evaluated to meet the connection</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requirements of launching the 5G networks. Wireless communication technology combines the advantages of the fixed wireless and the mobile cellular technologies, and it supports the emerging applications like autonomous driving, telecommunication, assistive technology, and recreation vehicles. However, cellular networks are heavily dependent on spectrum resources and are unable to support the independent buffering, launching, and collection of signals in a mixed wireless communication</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(i.e., mixed cellular networks) due to the high installation of data center, the heavy load created, and the congestion of spectrum due to the aging of radio frequency (RF) infrastructure.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The information and communication technology (ICT) sphere describes the infrastructure development methods which aim to understand the network conditions, capacity, and competitiveness of wireless functional groups. ICTs implemented in the next generation (20G) cellular networks use cellular technologies by offloading the PSS services to mobile functional groups, which are also the global base station, within their countries, such as India. Degradation of cellular network facilities by adverse events, the collection of unwanted QoE data by sensors, and the denial of signal transmission due to the failure or impenetrability of</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the infrastructure, and the unavailability of a former information domain in buildings due to mitigation measures and construction in the urban growth [] have been investigated as functional groups affected by these delays. High-torus-style ICT deployment using smart grids and cell-free user networks was proposed and demonstrated for reducing the effect of adverse events in the private subarea;</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municipalities, for collective control of remote wireless services. The level 3 cellular network designs have been considered, which consists of a simulated cell and network functions and deployable relay nodes and electric transmission lines, ishy-DRL (idea of intercellular link), intelligent cell monitoring and control (ICNC), and network-wide information sharing for control of cellular networks in the smart grid environment. In 2017, the proposed cellular network</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TABLE 4</w:t>
      </w:r>
    </w:p>
    <w:p>
      <w:pPr>
        <w:spacing w:line="254" w:lineRule="auto" w:before="89"/>
        <w:ind w:left="1323" w:right="0" w:hanging="360"/>
        <w:jc w:val="left"/>
        <w:rPr>
          <w:sz w:val="18"/>
        </w:rPr>
      </w:pPr>
      <w:r>
        <w:rPr>
          <w:b w:val="0"/>
          <w:i w:val="0"/>
          <w:color w:val="231F20"/>
          <w:sz w:val="18"/>
          <w:u w:val="none"/>
        </w:rPr>
        <w:t>Nomenclature of the 5G geospatial systems (GSS) used in China (source: ).</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Figure 1. Field with shade to represent the A117 implemented in the MOMA-X staging cell in Li Jiang City.</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Figure 2. Section of the theater to represent the imaginary cell in Li Jiang City for those with 5G access as depicted by the A110.</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Figure 3. Section of the industrial area near Li Jiang City.</w:t>
      </w:r>
      <w:r>
        <w:rPr>
          <w:i/>
          <w:color w:val="231F20"/>
          <w:sz w:val="18"/>
        </w:rPr>
      </w:r>
      <w:r>
        <w:rPr>
          <w:color w:val="231F20"/>
          <w:sz w:val="18"/>
        </w:rPr>
      </w:r>
    </w:p>
    <w:p>
      <w:pPr>
        <w:spacing w:before="2"/>
        <w:ind w:left="963" w:right="0" w:firstLine="0"/>
        <w:jc w:val="left"/>
        <w:rPr>
          <w:sz w:val="18"/>
        </w:rPr>
      </w:pPr>
      <w:r>
        <w:rPr>
          <w:b w:val="0"/>
          <w:i w:val="0"/>
          <w:color w:val="231F20"/>
          <w:sz w:val="18"/>
          <w:u w:val="none"/>
        </w:rPr>
        <w:t>Figure 4. Section of the industrial area near Li Jiang City.</w:t>
      </w:r>
      <w:r>
        <w:rPr>
          <w:i/>
          <w:color w:val="231F20"/>
          <w:sz w:val="18"/>
        </w:rPr>
      </w:r>
      <w:r>
        <w:rPr>
          <w:color w:val="231F20"/>
          <w:sz w:val="18"/>
        </w:rPr>
      </w:r>
    </w:p>
    <w:p>
      <w:pPr>
        <w:spacing w:before="12"/>
        <w:ind w:left="963" w:right="0" w:firstLine="0"/>
        <w:jc w:val="left"/>
        <w:rPr>
          <w:sz w:val="18"/>
        </w:rPr>
      </w:pPr>
      <w:r>
        <w:rPr>
          <w:b w:val="0"/>
          <w:i w:val="0"/>
          <w:color w:val="231F20"/>
          <w:sz w:val="18"/>
          <w:u w:val="none"/>
        </w:rPr>
        <w:t>4G LTE-Advanced Latency Scenario (Qualcomm, Actam, and OpenDaylight) 5G Mobile</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 The names, letters, and number of the cell types may vary according to different korean regional and national publications.</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The name of the cell type can differ according to different korean regional and national publications.</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The upper 20 cm height of the cells indicate that there is more than one cell structure with various cell types in the same city (udeba falun) with different spatial scales.</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Educational institutions’ collaboration with the health, healthcare, and social infrastructure in a provisioning civil society with a social support facilita-</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Figure 5. Multi-hop area (Huazhong Superdatacenter [Ca7161]) using handcrafted AR/VR software processing in MRT (Electrical Water Power Project) in countryside of Changsha, south central China.</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Figure 6. Line of sight to the RGV-MTV, followed by back-propagation of the distributed MIMO signal to the transceiver.</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Figure 7. Line of sight to the RGN-MTV, followed by back-propagation of the distributed MIMO signal to the transceiver.</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to an increasing number of grid peers. Power engineer’s perspective</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In the industrial area , the point</w:t>
      </w:r>
      <w:r>
        <w:rPr>
          <w:color w:val="231F20"/>
          <w:sz w:val="18"/>
        </w:rPr>
      </w:r>
    </w:p>
    <w:p>
      <w:pPr>
        <w:spacing w:line="254" w:lineRule="auto" w:before="13"/>
        <w:ind w:left="1323" w:right="0" w:hanging="360"/>
        <w:jc w:val="left"/>
        <w:rPr>
          <w:sz w:val="18"/>
        </w:rPr>
      </w:pPr>
      <w:r>
        <w:rPr>
          <w:b w:val="0"/>
          <w:i/>
          <w:color w:val="231F20"/>
          <w:sz w:val="18"/>
          <w:u w:val="none"/>
        </w:rPr>
        <w:t>In the theater, the point P represents the channel square impulse response power and the ground</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xml:space="preserve"> Figure 8. Overlap of the QuadBand mixed-signal MIMO signal between the AC-powered remote omnidirectional UAV and the client vehicle.</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Figure 9. Three-dimensional rectified shaped MIMO transmitter schematic. Image provided by.</w:t>
      </w:r>
      <w:r>
        <w:rPr>
          <w:i/>
          <w:color w:val="231F20"/>
          <w:sz w:val="18"/>
        </w:rPr>
      </w:r>
    </w:p>
    <w:p>
      <w:pPr>
        <w:spacing w:line="254" w:lineRule="auto" w:before="13"/>
        <w:ind w:left="1323" w:right="0" w:firstLine="0"/>
        <w:jc w:val="left"/>
        <w:rPr>
          <w:sz w:val="18"/>
        </w:rPr>
      </w:pPr>
      <w:r>
        <w:rPr>
          <w:b w:val="0"/>
          <w:i w:val="0"/>
          <w:color w:val="231F20"/>
          <w:sz w:val="18"/>
          <w:u w:val="none"/>
        </w:rPr>
        <w:t>Figure 10. Quadband complex single mixed-phase mixed-signal MIMO (CM-SSM) receiver schematic.</w:t>
      </w:r>
      <w:r>
        <w:rPr>
          <w:color w:val="231F20"/>
          <w:sz w:val="18"/>
        </w:rPr>
      </w:r>
    </w:p>
    <w:p>
      <w:pPr>
        <w:spacing w:before="1"/>
        <w:ind w:left="963" w:right="0" w:firstLine="0"/>
        <w:jc w:val="both"/>
        <w:rPr>
          <w:sz w:val="18"/>
        </w:rPr>
      </w:pPr>
      <w:r>
        <w:rPr>
          <w:b w:val="0"/>
          <w:i w:val="0"/>
          <w:color w:val="231F20"/>
          <w:sz w:val="18"/>
          <w:u w:val="none"/>
        </w:rPr>
        <w:t xml:space="preserve"> Figure 11. Multi-point Smartphone QuadBand Multi-Q (MPQBR) pre-projected section (source:</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CHANGSHASHA, THE PRESTO OF SEOUL) mobile user specifications. The set of characteristics that will be monitored during the learning stage are (a) the awareness by user’s self and others of the environment in the corridor and the impact produced by the physical environment on the user's image, (b) the successful implementation of spatial and temporal information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Figure 12. Traffic on the lower level of the power amplifier in the southern sector in Anhui Province, China.</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Figure 13. Daily estimated airspeed (mA) shown by a dual head-mounted camera in the eastern sector of Ningxia, China, in 2018 (source: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Figure 14. Average daily airspeed of the satellite in July 2018 (source: ELECTRONIC WATER POWER PROJECT</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Figure 15. Average daily airspeed of the satellite in</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2019 (source: LEED-Green Infrastructure Practice) in conjunction with various user preferences shown in Figure.</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Figure 16 . Initial estimation of the advantages</w:t>
      </w:r>
      <w:r>
        <w:rPr>
          <w:color w:val="231F20"/>
          <w:sz w:val="18"/>
        </w:rPr>
      </w:r>
    </w:p>
    <w:p>
      <w:pPr>
        <w:spacing w:line="254" w:lineRule="auto" w:before="13"/>
        <w:ind w:left="1210" w:right="219" w:hanging="360"/>
        <w:jc w:val="left"/>
        <w:rPr>
          <w:sz w:val="18"/>
        </w:rPr>
      </w:pPr>
      <w:r>
        <w:rPr>
          <w:b w:val="0"/>
          <w:i w:val="0"/>
          <w:color w:val="231F20"/>
          <w:sz w:val="18"/>
          <w:u w:val="none"/>
        </w:rPr>
        <w:t xml:space="preserve"> Figure 17. Anamorphic sensor array in operation (source: OEOH BOMB mitigation) in Anhui Province, China, in 2019 (source: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Figure 18. Modern cooperative filtering (source: HE CAR BOMB REDUCTION) in operation (source: LEED-Green Infrastructure Practice).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Figure 19. Location database (source: ELECTRONIC WATER POWER PROJECT</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CHANGSHASHA, THE PRESTO OF SEOUL) of Li Jiang City, Henan Province, China (source: GTO Municipality), in cooperation with the Northern Anhui Province Government and relevant government departments in Anhui Province. This database will be used in later experiments of the research team.</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Calculation of Ranging and Ranges of Spectroradiometers [9].</w:t>
      </w:r>
    </w:p>
    <w:p>
      <w:pPr>
        <w:spacing w:line="254" w:lineRule="auto" w:before="13"/>
        <w:ind w:left="1210" w:right="0" w:hanging="360"/>
        <w:jc w:val="left"/>
        <w:rPr>
          <w:sz w:val="18"/>
        </w:rPr>
      </w:pPr>
      <w:r>
        <w:rPr>
          <w:b w:val="0"/>
          <w:i w:val="0"/>
          <w:color w:val="231F20"/>
          <w:sz w:val="18"/>
          <w:u w:val="none"/>
        </w:rPr>
        <w:t xml:space="preserve"> The estimation of reverberant sound absorption ranges of CCD set-up built using a CNC machine by (a) scanning a 3D picture of a 65,000 x 35,000 m cavea of an ancient city of Mohenjo-Daro in Ethiopia, (b) collecting a survey of the surface features and (c) measuring the frequency of the SAR signals.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According to [10], a single-antenna and supraphysiograph (SPAS) set-up is enough to study the zonation distribution of the signals and, since the sources follow parallel arcs, the SAR samples are distributed along the orthogonal planar surfaces.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FIGURE 12. Head-mounted model of an MIMO modulator (E-M 1002/3, B&amp;K Optimum, Ponthier, Germany).</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TABLE II</dc:creator>
  <cp:keywords>A. Network size (m2) and coverage area (m2).</cp:keywords>
  <dc:subject>B. Dependence on wavelength (m) and GNSS frequency band (GHz).</dc:subject>
  <dc:title> C. A typical Mod-C multiple antenna network without active blending strategies with the grid base together with the beamforming selection, signal correlation filter with 5-bit receptive field, and VSWR analog-to-digital converter.</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