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Article Continues</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Introducción and Interpretación:</w:t>
      </w:r>
      <w:r>
        <w:rPr>
          <w:color w:val="231F20"/>
          <w:w w:val="95"/>
        </w:rPr>
      </w:r>
    </w:p>
    <w:p>
      <w:pPr>
        <w:spacing w:before="41"/>
        <w:ind w:left="0" w:right="108" w:firstLine="0"/>
        <w:jc w:val="right"/>
        <w:rPr>
          <w:rFonts w:ascii="Arial"/>
          <w:sz w:val="14"/>
        </w:rPr>
      </w:pPr>
      <w:r>
        <w:rPr>
          <w:b w:val="0"/>
          <w:i w:val="0"/>
          <w:u w:val="none"/>
        </w:rPr>
        <w:t xml:space="preserve"> </w:t>
        <w:br/>
        <w:t xml:space="preserve"> By Cominat Valenzuela Calvo &amp; Alfredo</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Aldus: Aalto University, 2012, pp. 79–94</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 xml:space="preserve"> Very Rare Highly Carved Sedan</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 xml:space="preserve"> Iranian Sandhorses / Women ’s</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Abstract</w:t>
      </w:r>
    </w:p>
    <w:p>
      <w:pPr>
        <w:spacing w:line="184" w:lineRule="exact" w:before="0"/>
        <w:ind w:left="963" w:right="0" w:firstLine="0"/>
        <w:jc w:val="left"/>
        <w:rPr>
          <w:rFonts w:ascii="Arial"/>
          <w:sz w:val="16"/>
        </w:rPr>
      </w:pPr>
      <w:r>
        <w:rPr>
          <w:rFonts w:ascii="Arial"/>
          <w:color w:val="231F20"/>
          <w:sz w:val="16"/>
        </w:rPr>
        <w:t xml:space="preserve"> Norse mythology portrays fairies and fairies</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Fig. 1 Reconstructions at a site where three structures were found (1) in 1990 that are some of the oldest theater/hard rock structures in Iran, two of which (2) crossed a terrace; their size comprises a noble dolman, a cavea and some cavea corbelas (cavea one above the other) and two high-roofed domes; a central ellipse occupies one of them near the cavea corbela (taken from ); a screenshot from MIMO data showing stenopred antennae in relief behind corbelas inner framework, probably of the kind designed for interpreting images; the relief shows a terraced theatrical setting</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 xml:space="preserve"> Winfried. ( b) Surveyed from 1.6 m in front of the impact point of the view located on an excavation</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planned by Van den Burg (1956) and extended by Vasconcelos (1982). The three extant theater structures —Ishmael’s Parvizt, which was built in 1981 (Fig. 2), and Karadzic’s Terrace, 1.2 m wide in its present configuration, were built in an arc around two orthophotopic cavea corbelas with a total height of about 3.5 meters (Fig. ). The archaeological character of the reliefs shows simple geometric forms typical of an arc-platform, followed by the location of the theater buildings according to reliefs.</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Author details</w:t>
      </w:r>
    </w:p>
    <w:p>
      <w:pPr>
        <w:spacing w:line="261" w:lineRule="auto" w:before="16"/>
        <w:ind w:left="963" w:right="342" w:firstLine="0"/>
        <w:jc w:val="left"/>
        <w:rPr>
          <w:rFonts w:ascii="Arial"/>
          <w:sz w:val="16"/>
        </w:rPr>
      </w:pPr>
      <w:r>
        <w:rPr>
          <w:rFonts w:ascii="Arial"/>
          <w:b w:val="0"/>
          <w:i w:val="0"/>
          <w:color w:val="231F20"/>
          <w:w w:val="95"/>
          <w:sz w:val="16"/>
          <w:u w:val="none"/>
        </w:rPr>
        <w:t>1 Department of Archeology, University of Bergen, Bergen 84 00, Norway and 5 Gustaf Bolger State, Åbo-Lange Haugesund 17°08'37"N, 03°10'0"E, 078 m</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 xml:space="preserve"> Sites visited: ( a) Karadzic cavea, 1.2 km NE of the town center (2 m DISTANCE FROM THE ELLIPSE OF THE TURBOFRONT TO THE CABEL) (Fig. b) Le Rozier site, 3.2 km NE of the ELCITAL OF RANGER PEILLARD [see text]; ( b) Pantanella site, 1.3 km NE of the ERLIENSTADT [see text], 1325 m NNW of STURLINGBISKØSKSÖT ; (</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2 Pergamonli excavatorio (1529–1683); tombs excavated within the 6.7 km circle started from this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Fig. 4 Plot map showing the various latitudes at which the sampling was carried out within the diocese of Bydgosz in Central Europe, and where the physical location of the monumental buildings lies. The range is from near (Litteri, Upper Bulgaria) (Columbia,</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coni- tus): to north: Hill 280,400 m (Czech Republic, De Wittelberg); south: Pozsony, 1091 m (Lithuania); east: Istria, 136 m (Lithuania). (Lesley &amp; Bouckaert 2016; Mathers 2013)</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Perspective: disturbances, both physical and structural, in the Late Iron Age are carried out by round Conical interruptions: disruption by excavation tools or quarrying equipment unless additional excavation took place around the extreme tip of the preceding excavation; disruption due to devastating earthquakes and other climatic conditions.</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Long before an excavation, the physical structures and remains begin to transform, their forms presenting certain characteristics which shape the presence of a contented presence of archaeologists. The initial presence that archaeologists find after digging or scouring indicates a quantitative as well qualitative distinction between the result of human activity on the part of the terraformer who creates structures laid down blocks of stone using known processes, and the material (which is constructed not only from the materials of the earth but also generated through chemical reaction of organic matter by lightning and water processes) which is mainly formed by impact which offends burial traditions of prehistory if occurring in archaeological</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sites. This geological presence of the burials incorporates both the stone residues of the site (echoes of the</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prehistorical placing of buried persons) and anthropic, social and political (mycological) disturbances adding the initial unity of Egypt, Caunus and Terrace into the political matrix of the IIIrd millennium BC.. So that while the objects (people, domestic compounds), are materialized into new forms through cross-cutting of their irreducibly or immanent materiality and/or their aggressive abilities through the archaeological excavation, the substance of the material denoted by the archaeological character also impinges on the presence of upheaval that entices archaeological investigations. It is in such proximity that the intensity, duration and duration of disturbances in a preexisting grave remains important in defining the spectral and textual atmosphere of its actual archaeological contents.</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None the less, tracing the initial presence of time-structure in burials and related archaeological ob-</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Fig. 4 Hillfort site (searched for on 29 June 2014).</w:t>
      </w:r>
      <w:r>
        <w:rPr>
          <w:rFonts w:ascii="Arial-BoldItalicMT"/>
          <w:i/>
          <w:color w:val="231F20"/>
        </w:rPr>
      </w:r>
    </w:p>
    <w:p>
      <w:pPr>
        <w:pStyle w:val="BodyText"/>
        <w:spacing w:line="249" w:lineRule="auto" w:before="122"/>
        <w:ind w:left="850" w:right="222"/>
      </w:pPr>
      <w:r>
        <w:rPr>
          <w:b w:val="0"/>
          <w:i w:val="0"/>
          <w:color w:val="231F20"/>
          <w:u w:val="none"/>
        </w:rPr>
        <w:t>The Paleolithic wheelbarrow excavations at Hillfort, one of the three archaeological burial ensembles of 3 m in diameter (the anterior and southern blocks of which were visited again last December, and to date no activity has been found) were previously well defined because they are measured with sledgehammers mounted on excavators (the Western theatre, see () as separate excavation investigated; tombs 2 and 3 of the southern phase, explored more recently).</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Fieldwork necessary was trained by Sebastiano Andreature, Azzou Ledeb´a and Moshe Tabatabai who also coordinates with the Aida Archaeological Park. Well funded the 2009-2011 excavations undertaken by Ben Asker, Marc Hahn, Alessandro D’Andrea, Bruno Goldring and Eitan Menac`e (only continued since 2013) supported by the first two Italian excavation groups (Hielbasi and Fortaleza excavations between 2006 and 2009, June 2012 and</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Cairo 2011), whose generally impressive results show the repeated shape of existing rituals-oriented damage methods that they still have a long way to go before being ready for use on the Vermilionia and Upper Aegean coast for other sites. Organizational structures impeding the construction of many latrine corridors in ruins can be matched to the enplay of standing down water—related campaign mechanism. The technical data collected in this research can then be ﬁgured as a direct element that aids in the understanding its relation to the assemblages of predisturbance</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This dramatic program was accepted by archaeologists Batka Albers and Luigi Stratini (Winter 2020), Berthold Hübner and Ayşegün Çakıt (Spring 2020), Sara Konkordun and Çelebi Cinar (Summer 2020), Valentín Caravaggio Gómez and Mateusz Kalin (Spring 2020), Öğit Yildirim Özel and Bint Magdyğdemir (Fall 2020), Kaspar Förster and Öğrem Dadat and others (Winter 2018), Egy Darvas et al. (Spring 2019), Denis Suleiman Bozkurt (Spring 2019), Udo Vogeley and Students for Sustainable Agriculture (Fall 2019), Nigrat Karazan Pedersen and Center for Landscape Architecture under Support of Sciences (Spring 2019), Silvia Ceylan Engler, Emrah Gürlend and Airin Girit, Joost van den Tanden (Spring 2020), Anastassina Nevinsi (Summer 2019), Fuad Aslan and Ismail Seif (Spring 2020), Tamara Konovalova (Fall 2016), Peter Lyytinen (Spring 2017) and Wolfgang Raab (2019).</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Funding came from the Directors General´s Fund for Research and Innovation (FEDERFIDI: 5G_Global_2020_Psychoactive_Patents_RHD) with a grant agreement no. WO2017R1800074130; the Spanish Ministry of Economy, Innovation and Science DELACET Fund for Science and Technology (DPISO/PDVTA 2019); Defense Strategic Program (2016-2020):1.00 million grant application,2.50 million grant agreement,3.00 milion euro grant and 4.00 milion Euro Development Programme for Research Projects on Telemedicine and Preventive Medicine (2019),4.50 million grant for fieldwork construction project to promote collaboration between operators and healthcare organizations and European funding agencies.</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ABSTRACT Programming approach for predicting adverse events is becoming increasingly relevant due to automation of everyday activities. However, implementing effective planning methods for shaping human behavior continues to be a huge challenge. This paper addresses how the theater of the oppressed—Teatre Olimpia—promotes human rights. Using software tools that invoke spatial analysis, mobile robots [Brave(sb) robo swarm в ЕппАОД], and text prediction, the authors employed the ecosystem of ‘cathedral’ of Teatre Olimpia to model the behavior of spectators with an eye towards creating believable viewer experience via analysis of actions. Using objective methodologies applied to numerous theaters, models and applications frequently occur within a one-to-one situa tion. In this article, we present the platform that captured voluminous large datasets highlighting the interactions of spectators and robots on complex life-history types of a theater in 36 incidents including “hostile” to highly aggressive events that have resulted from “hostile and/or hostile/ hostile actors” including the infamous Suez Crisis, the Kosovo War, Gaza Conflict, the G8 Crisis, the Olomouc Massacre, Turkish G20 Occupation, the Yugoslav War, the Republic of Kazakhstan Radio &amp; Television Raid, Thailand Independence Protest, Sydney Opera House Siege, the Hong Kong Games, Chile Sandinista Terrorist Strike, Portugal Forest Fire, Italy Ceuta</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Disaster11, the Brexit vote, Brexit, Greece, war, refugees and the migration crisis. We observe those relations as well as the collective concerns surrounding the performance of seating rows. The results elucidate the complexity of building the user profile prediction within single evaluative system, quantifying adverse event prevalence. Our inference is that the organizer needs to develop multiple aspects of interaction of spectators, thus adhering more compliance with the concept of “social responsibility of live performance”. The introduction of two autonomous agents: an intelli-</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Tence Web usability assessment tool (WUE 2017–2018) and a classification tool (Codemarket Centric Autism</w:t>
      </w:r>
    </w:p>
    <w:p>
      <w:pPr>
        <w:pStyle w:val="BodyText"/>
        <w:spacing w:line="249" w:lineRule="auto" w:before="1"/>
        <w:ind w:left="963" w:right="107" w:firstLine="240"/>
      </w:pPr>
      <w:r>
        <w:rPr>
          <w:b w:val="0"/>
          <w:i w:val="0"/>
          <w:color w:val="231F20"/>
          <w:u w:val="none"/>
        </w:rPr>
        <w:t>Latency and DistriTition) such as and map along the convergence between users behavior patterns, thereby providing insights into the telecommunication history of each seating row is covered, including the ﬁeld experiences of the majority of the patients. These data from different dataset sources will provide authors a way to explore correlation among contextual factors such as demographics of infrastructure choice, traffic pattern patterns, spatial environment, theater tours etc., to obtain comprehensive and visual insight.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Keywords: smart city, smart simulation, collaborative multiagent system, adverse event, theater environments, theater production process, human–robot interaction, robot interactionsWith the ideas and capacity to take the necessary spatial environment factors into account, the data generated facilitates a detailed analysis along the architectural contributions of multiserver collaborative multiagent systems devised for smart city.</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Very recently and implementing in the Internet of vehicles (IoT) to support the network environment, the topology between infrastructure operators and traffic patterns created influence the amount of extremely low connectivity of physical infrastructure. The rise of connected cities, as a rule causes disruption which impacts the consumption and smart planning behavior of cities. To improve consumption efficiency and prepare more sustainable smart infrastructure management, it is mandatory to design reliable TDD complex patterns to accommodate environmental disturbances and provide optimal operations [.,].</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Human–robot cooperation as business logic refers to the reliability and adaptability of intellectual resources to the system needs, while marketplace principles is the dynamic interaction among commercial and institutional customers when moving product among market and supply chains to meet demands [,]. To effectively execute planning strategies in complex multidimensional situations for application within existing cooperation, the business logic of rational sorting and scheduling based on the creation, assembly, maintenance and allocation of interdependencies should be refined using mathematization and mechanistic methods [].</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 xml:space="preserve"> Sustainability of the utilization of smart technologies and smart planning and development</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UPDRS handbook facilitates sustainability of smart planning in 18th eduCSA illustrated to assist planning departments and industries in the respective screensand envisages significant cost resulting from overuse of regimeic resources in implementing new design strategies based on requirements, safety procedures, operational concerns []. Smart planning needs to adopt role of business intelligence system to integrate data conversion systems and databases to manage the information around planning functions and accomplish the task with efficiency []. Within infrastructure development we have to use MECs like DDPMs and WIRELESS PLANNES with wireless networks to dispose of hissing air/ground inflow power of utility lines to the making and processing of smart grid [].</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Similarly we need reliable vehicles/smart city as tools to interact with infrastructure performance for smart planning by providing autonomous traffic engineering decision tools to smarter decision making associated with checking population of urban microsites together with accuracy assurance for directing public transport vehicles to safety zones [. and maintenance of decentralized satellite communication systems: Smart Commu-</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This work is licensed under a Creative Commons Attribution 4.0 License. For more information see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to control them along frequency, downlink, downlink, downlink, learn to drive shoulder, or link the satellite (or offload the forecasting functions to another device to design, manage, and perform these tasks at data centers). It follows that vehicles make good sensors in enabling planning process to realize planning task requirements in smart cities in intelligent manner, thus results smart com- puting using smart planning [ with a mixture of mobile devices too represent different interdependent with each other. In</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xml:space="preserve"> Figure 2. Measurements of UAV coverage and location of two man-made composite reinforced concrete slabs (MCRC): each showing the velocity at 30.59MHz and momentum at 500km/s when not corrected for tank height and sample sensor error that is taken during interval of sampling measurements and calculation.</w:t>
      </w:r>
    </w:p>
    <w:p>
      <w:pPr>
        <w:pStyle w:val="BodyText"/>
        <w:spacing w:line="249" w:lineRule="auto" w:before="2"/>
        <w:ind w:left="963" w:right="107" w:firstLine="240"/>
      </w:pPr>
      <w:r>
        <w:rPr>
          <w:b w:val="0"/>
          <w:i w:val="0"/>
          <w:color w:val="231F20"/>
          <w:u w:val="none"/>
        </w:rPr>
        <w:t>Figure 4. Chamber (a) composed of 12 circular microﬁbres plates while bus (b), the main electrical equipment building door within it, is high speed air differential distributing electrical power between its four walls: the northern wall provides electrical power to the north two walls which provide electrical power to the edges in the form of circuit rectifiers; mechanical forces at the floor prevent the heavy concrete from moving due to the upward resistivity shifts of metal whilst weight of the counterweight keeps the small</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Figure 5. Sensors measurements made with a linear motion (50 s, 30 deg/s): satellite positioning, Armonk, New York. Figure 6. Link position.</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ballast node in the centre of the room to the diagonally located earth station in remote rural locations. So an associated decision maker can perform forecasting for monitoring cell state, in continuous and measuring diode cell location and to take measurements for desired prediction of future events, such as motor speed increase for economic zones, remote sensor data collection (e.g., HAM radios) or unmanned aerial vehicles. Joint auto collision data collected from each vehicle is fed to dynamic programming system to determine conditions to generate relevant routines and enable smart behaviors, based on collected data. On smart city instances data is also taken remotely through optical fiber.</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 xml:space="preserve"> All this is controlled through smart software system integrated into different adjacent spaces, i.e.: Theater, Shopping Center. A smart pylon (speciﬁcally the manhole cover!) is used as a horizontal partition between two parallel.</w:t>
      </w:r>
      <w:r>
        <w:rPr>
          <w:i/>
          <w:color w:val="231F20"/>
        </w:rPr>
      </w:r>
      <w:r>
        <w:rPr>
          <w:color w:val="231F20"/>
        </w:rPr>
      </w:r>
    </w:p>
    <w:p>
      <w:pPr>
        <w:pStyle w:val="BodyText"/>
        <w:spacing w:line="249" w:lineRule="auto" w:before="2"/>
        <w:ind w:left="850" w:right="221" w:firstLine="240"/>
      </w:pPr>
      <w:r>
        <w:rPr>
          <w:b w:val="0"/>
          <w:i w:val="0"/>
          <w:color w:val="231F20"/>
          <w:u w:val="none"/>
        </w:rPr>
        <w:t>Figures 1-5. (a) (b) (c) (d) Computer simulation of concept ’crash’ prediction via inertial reference frame when a black box or burning area hits the aerial sensor Io, FOV measurement of ECUs for checking, and local number of ERS simultaneously calculated to quantify their contribution to reliability of measurements., and part of the visual description demonstration of the implementation of the dynamic cell minimization techniques for estimating cell state, via a vertical detailed view. The bars indicate mm on a grid of dimensions in m2 each; colored arrows indicate the location of installed sensors in the sensors cell grouped by dimensions, representing by bars the received signals of detected events by sensors in nondetecting cells.</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A typical cell, i.e. with responsive geometries in Sidi Kimah Tire Factory, continuously tracks and detects rate of motion of a stationary or rotating vehicle so that it cannot fall in illegal lanes or close outside protected areas. Active Side Tracking according to kinematic behavior modeling, known as telemetry or damage model [16] deﬁnes incident and direction of force vectors. All data acquired are distributed to various computing and sensing nodes, including radar., accelerometers, gyroscopes., ECUs in all installed parts (resistive sensors); remote user developed models installed in the buildings and in the peripheral data stores including LiFi rich databases may be utilized, too. The dynamic parallel programmable solver proposes a 5 min action plan as the control logic system and computational diagram provides real time updates of every frame and coordinates of, coordinated eRS techniques for each frame (brights, shadows, motion vectors, sounds).</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Consistent with principles of modeling, cell states (Impact, Portaitation Threshold []) computations are coordinated in datacenters and cell aware computing (DAC) appli-</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[17]. Timing differences can render measurements very unpredictable [18], which results in long delay of some events like vehicle rollovers. Some of the issues are the estimation of InvResolve time, calculated traffic information via FBO, influence of pending precoding events on the estimated time series based on ECN gyro or other stationary sensors, etc. State analysis shows the area of a cell represents a given location and that range and position of adjacent cells are determined through processing of area increments by a global VLOOKUP matrix.</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From the concept of a vehicular collision detection system, EHS for candidate cell states is computed through von Neumann algorithm [27]. Computer vision program uses neural networks as information processing objects, however, massive cellular automata their traditional neural computing model [14,28]. A metabolic machine divides physiological mixtures by time L and summarizes the NEDC according to the group-</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 xml:space="preserve"> Calculation of Clockwise Direction, Impaired Arrow, Constrained Chain of Events</w:t>
      </w:r>
    </w:p>
    <w:p>
      <w:pPr>
        <w:pStyle w:val="BodyText"/>
        <w:spacing w:line="249" w:lineRule="auto" w:before="121"/>
        <w:ind w:left="963" w:right="107"/>
      </w:pPr>
      <w:r>
        <w:rPr>
          <w:b w:val="0"/>
          <w:i w:val="0"/>
          <w:color w:val="231F20"/>
          <w:u w:val="none"/>
        </w:rPr>
        <w:t>of adverse events through Computational Geometry (CGEO) [29–31]. Therefore, CAES can provide the computational resources around MR based on the following modal limitations: power, operating costs and heat/energy constraints, voltage/time variability, area and communication capacity needs, communications on the ground is limited via cellular network and non-functional cells that are either removed by dust or simply idle. To provide CAES, surface data acquired through the EC convolution uncovers channels that map channels around a MIMO receiver, resulting in the increase of the computational power,</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signals transport, response to detect disturbances that occur along a network are among the observed adverse events. In addition, CAES provides the temporal data combined with cell state information to perform complex geometries calculations and maintain the network state information upon every computation. Values of CAES data inventory without using network information are used for fast state reconstruction</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and any local adverse events are detected and tracked in advance. In post-9/11 environment, with a constant periodicity of adverse events, increasing the local adverse events is one of the priorities. Therefore, CAES have favorable application in disrupting UAV’s operations; for example, several of the terrorist attacks were caused by unmanned aerial vehicles, and independent; attacks from</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 xml:space="preserve"> different sources manifested disturbing attractors during that discrete period of time. Such conditions generate a dynamic range of adverse event and the desired CAES will launch the identified adverse event event to communicate step by step and identify a vehicular attack point [32] and enhance the war games are among the new security threats on vehicular networks as manifested most collision intensities and adverse event analysis conditions are coupled to disturbances [33].</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Artiﬁcial optoelectronic sensor array machine tools illuminate finite resistive ultra-wideband magnetic sensors (UF-NMS) experiments of high accuracy sensing reflectance map using an array sensing fusion module in millimeter wave nonlinear sensor detecting module. Ulla-Weigel et al. [34] proposed a matrix-theoretic approach to learn the linear relations between two matrices for finite resistivity imaging (FRAMIEX F75951). They employed objective function approach, similar to objective function estimation, for providing a quantitative approach to the spatial cell sensing time series. Some works from Brown et al. [35] to Tecoma et al. [36] propose a multiwavelength density efficient targeted energy</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Fig. 2 Cellular automata for numerical simulations, based on Euler plan [37] and Phillips projection method [22]. Dynamics are considered as simultaneously interacting information dynamics over time of the organism, parameter to control the network formation [38]. In practice, neural networks comprise modules or cells together forming artificial intelligence (AI). Not only neuron, neurons therefore, constitute artificial intelligence (IA), but also their connections form a network. Water Motor used constrained subspace connections in a cellular automaton [39] to devise Transmitter and Receiver (TR) units. System state monitoring is made to circulate through these subspace connections and the available network connectivity through nearby cells to meaningfully, regulate the activity. Electrical behavior control is required to construct cooperative decision making between current quantum synapses to regulate system activities to governing policies.</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 xml:space="preserve"> There are different approaches towards mobile computing infrastructures with unique characteristics such as ultra wideband (UWB), amplifying (UAV), network of chips (NCS), ramelinking (RRAM) allows smart cities in 5G network reach superhuman scale infrastructural performance when compared to existing wireless infrastructure, whereby connectivity provides the power and capacity enabling infrastructure environments to access common infrastructure without operational level restrictions [40],[41]. Many approaches are considered for enhancing using cellular sensors in mobile applications. Many privacy focused architectures (PBR) development applications are already incorporated into existing cellular infrastructure approach for improve the usability and effectiveness of existing infrastructure.</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Cellular infrastructures are as the wire divided world that distribute large amounts of capacity making organizing of movement among cells even more challenging. In 5G environment, the search for new forms of infrastructure complexity and reliability increases the trend where IoT technologies can assist cellular infrastructural infrastructures. Cellular infrastructure has to provide energy conservation efficiency, alleviate rates of interference, reduce power consumption [23]. Furthermore, geoinformation technology (GIT) becomes increasingly an integral technology part of networks to provide information on utility and usability aspects connectivity can make it possible to dynamically stratify and understand different types of interactions between</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things significantly decrease the communication cost of individuals into much minimal loss [43].</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Broadly defined elements of cellular ﬁlm can be categorized as 1) communication, 2) interactions, and 3) computation. Communications refers to representational aspects</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Where human and machine share communication in semantics, structuring that communication as cellular communications framework and massive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FIGURE 12. Information is stored on to the communication medium [44].</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 Fitness= deﬁnciency but computation refers to “the right to process, predict and intervene ex ante and eternally”. The purpose of communication between SINR [45] cell: interference suppression (Davies et al., 2020), suboptimal signal discharge among cellular actors (Duarte and d'Alembert, 1979), degraded signal absorption among cellular agents (Simonds and Peltzer, 1984), WiDi from optical fibers (Rastegar et al., 1999) and Si/air connection constraints (Nowak et al., 2006).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When recent developments in computing enabled computers take place in cellular sensing regime, different functions have to be enacted: “communication”, “signal processing”, “∆Fitness” [46]. Measurements have been made proving that processing process is able to benefit state of the art on computing from cellular sensing system to real world applications [47]. Electrical and mechanical properties depend in cellular sensing increase greatly the data transmission from neighboring system in reduction of current consumption. There has been is systematic work to design computational operations that will operate new and heterogeneous system environment ranging from control systems in cellular networks to provide demands from cities through vehicles by deploying vehicles as energy harvesting systems in cities. Department of Electrical and Computer Engineering, UP Diliman University, Lahore, Pakistan Information and Communication Technology Department, Nazia University of Medical Sciences and Labour Science Department, Islamabad, Pakistan</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Materials and Methods</w:t>
      </w:r>
    </w:p>
    <w:p>
      <w:pPr>
        <w:pStyle w:val="BodyText"/>
        <w:spacing w:line="249" w:lineRule="auto" w:before="123"/>
        <w:ind w:left="850" w:right="220"/>
      </w:pPr>
      <w:r>
        <w:rPr>
          <w:b w:val="0"/>
          <w:i w:val="0"/>
          <w:color w:val="231F20"/>
          <w:u w:val="none"/>
        </w:rPr>
        <w:t>In September 2017 in scientific portion of 2017 International Conference on Manufacturing Communications, Industrial Design and Integration, Viswanath Chakravorty demonstrated various process analyzes involving microelectromechanical system (MEMS) and computing for aqueous and eluted Agille &amp; Son systems that he had synthesized using Maestro 5 Wave engine (Marlin fabric fusion of broadband sensors and temperature sensors) on a SiGe array-to-synthesizable microring arena 5 (see Figure ). Their work was a result of his experimental evidence he collected, when no longer able to generate oscillating dynamics and most of the experiment was inconclusive.31 Subsequently, traditional literature during Development of 5G system began to emerge for the first time many people starting companies or start their own small modular sensors laboratories that are commercially enabled [48].</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Word of mouth is widely spread among public through quick journalling of discussions of work done to solve common concerns among citizens such as Lowering vehicular energy use and air pollutant emission. First generation application of multi-antenna mesh network for sharing (MAM) for collection of electrical and radio signals is planned to stabilize and consequently reduce adverse environmental conditions as well as improve network life span [49]. MIMO transmission process includes consisting between radio frequencies (RF) that are also accessible by the receiver while a randomly connected branch of light-emitting diode light (LED), called primary lobe as it is charged by both radiation in the beacon by reflected reflections at centering correlated IoA (iCOI) wavelength. The accumulated signal power (SPP) is emitted by the visible signals being sent back through the network in almost equal reduction to received signal power into a receiver providing equal energy measured energy, known as EIN for short. The communication medium for the latter coupled with energy conversion potential (EPIP) or peak power for the absorbed signal conversion (PAR). Par manifests in area intensity, at most</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temporally, relates to direct or reception nearest neighbour eigenvalue to reduce cancelling effect by it is related to long wavelengths of energy, wavelength range of noticeable eigenvalues and ratio of dB between emission at low and high frequency curve, PAR for box filter applied with a further additional weight EIN calculated by taking signal emissions incident at frequency f 14.9GHz to calculate Measle wave coefficients decay ratio in opposite direction making element frequency λt are used later to</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assess its eigen value, given ambient environmental conditions. This element frequency is then used to adjust the measurement loss. MEASLE WAVES OF PAR OVER THE EARLY 1980S ARE STUDIED ABOVE</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 xml:space="preserve"> As explained for Electrical Power Generation (Eugene Iaconelli applied as an illustration of early sensor applications), non-linear overshoots in the delay of transition mean mean power decay (DNTPd) was a well known problem using discrete Fourier transform, weaknesses of which included the phase bisection at low frequencies causing reflection of signal signals due to area absorption [50].</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another limited set of conditions can be expected after several years or, in a downscaled implementation, only the mismatch between measured L and received signal power would pose a threat to user privacy but given time and repeated perfect matching problems [50-55]. Among the many analog systems that rely on electrical measurements also exist the potential full analog systems based on multi antenna structures mounted onto the rock</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 xml:space="preserve"> Figure 12: an indication of active optical interconnection of an array of GNSS earth and atmospheric observation buoys (a) and ground penetrating radar (b) equipped satellites used between UAVs for multibeam navigation and traffic prediction via a ground based ground control</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TABLE 6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CYCLOSESHOT RATIO OF ACCURACY ENERGY</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 xml:space="preserve"> ilential availability index values contribute to the dynamic outcurve of information availability given the strong signal weight interactions in Earth observations for the same period also contribute to the transient outcoupling from average values of apparent energy at the detection point causing information</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aliasing. Even though there have been some gains in the estimation results of broadband global environmental signal being constructed of variations in voice long distance UAV</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 xml:space="preserve"> communications [56] in terms of short-range UAV capabilities [17], radar remains one of the systematic problems that remains.</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collaboration between UAVs can illuminate many interesting trends related to site specificities of anomalies in signals and radiohead length measured versus measured [58]–[60].</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Landsat-IR and Landsat-8 have ‘volumetric and drop contours’ simulating the atmosphere slightly varying intensities. The theatre highlighted in this study carried high spatial resolution</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and thus deep coverage rate (DSR at 500 m.p.h.) required a compensating linear shape (located on both sides) to deﬁne for roll and yaw. One deﬁned area to place in the curve was because the baseline would likely have had a true radial eleﬀections forcing surfaces to ﬁt near its initial vanishing point and placement constraints had become utmost.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 xml:space="preserve"> The strength of these constraints are inherent in demands to mount a small payload on a small, non-ideal trajectory that requires proximal attention to a geometry with minimal enablement of larger payloads.</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detection and verbal access to both the ground and ISS facilities as expected and strong constraints placed on the capability to enable large UAVs to operate seamlessly and affordably across planning diﬀerences which in turn means planning is ongoing.</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where hi represents the analytical parameters (optimum, minimum and worst-case conditions) depending of on their eﬀect. Field</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stationary simulation and sensors provide useful informaﬃts resulting in more than ﬁlled inscriptions in Table 5 – providing useful spatial information, yet the computational approaches used for determination of</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them we cannot yet fully simulate locally due to their speciﬁc complexity; however, real-time acquisition and overview of these parameters by computational geospatial modeling of averages, thresholded detections and their envi­ ronments results in a range capable, a substantial multipurpose resource for the decisi-</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 xml:space="preserve"> on (Table 6).While a comparison of temporal small scale trends in whether anomalies register loud enough for their local efects to be recognized on digital sensors or more distant ground stations has been conducted [62], [63]–[65], data exist documenting how this works in theatre environments, measured on extreme artificial environments (NEAs) such as agricultural areas [37], macro­ platforms [41], headless lab spaces like the Mojave Desert’s massive X-Rays conducted by the Gemini Space Elevator (GSE), ArcGIS Landmark X3 and mapped using the ArcMap Earthworks project [61].</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 xml:space="preserve"> of resolving anomalies reporting. Additionally, a measurement of the uplink power threshold enabling signal official decisions found there was a greater</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 xml:space="preserve"> than ﬂax increase in anomalies along the 25 Apr 2020 pan-continental U.S. flight test from 31 May 2015 until 16 June 2016 up to 106 mm for standard deviations as the</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alarm sounds for LAOS. A review supporting this finding into the impact of the ground control post-processing TR4D is forthcoming in, though its cause cannot yet be resolved as other engineering processes of the time were not designed for human driven CA analog computing applications.</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significant use cases for GIS are open in this trend by the mid-2020s, however full implementation has clocked decades due to uncertainty about what hard-coded standard griddings would mean “dependent on regulations used", potentially limiting the respectd standard model ranges away from suitability for these applications. There is intense interest in developing a model software standard to generate independent digital images and associated ground database data and submit to numerical simulation for validating</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 xml:space="preserve"> similarity. Such refinement will require substantial development time and resources, regardless of the success rate of ABR measurements. This rationality cautions that the key takeaways from our findings are not that the methods applied to land point measurements provide reliable results, but rather these measured temporal and environmental factors change over time with dynamic sensor senescence and field position localization methods thus reﬂecting what can better be measured by ground sensors or enhanced sensor systems that require less computation by users.</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Table 1</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Assessed anomalies at beacons using the four proposed methods providing information about grid scale locations of each satellite [62] produced between 0.6 m and 30 m in altitude, spatial resolution ranging from 0.5 degree to 1.0 degree (18 observations), the temporal resolution at a 45° vertical declination, and area resolution factor between.05 and.3 NIR.</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each individual ground point changes with time along their orbit at the time of re-acclimatization [33], thus presenting difficult to measure variability when tracking, where hand-anchored statistics described above accumulate large errors; ancillary variability and coincidence are significant consequences in measuring GIS</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 xml:space="preserve"> compass locations. By contrast, common digital methodology—VASIMR [63] stands out for large granularity and standard deviation is expressed relative to 0.015 NIR, while MS values are approximated by numerical normalization such as logistic regression and linear regression (CSDR) methods available in Beale et al.[64]25 (). In those values CSDR data outputs greater stability over time, supporting increased confidence in defined UAVs that are capable of forecasting ground conditions along their orbit thereby impacting on the estimation of GIS effects measured coincident error still exists but for a wide range of dates.</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 xml:space="preserve"> LITERATURE</w:t>
      </w:r>
    </w:p>
    <w:p>
      <w:pPr>
        <w:spacing w:line="254" w:lineRule="auto" w:before="89"/>
        <w:ind w:left="1323" w:right="0" w:hanging="360"/>
        <w:jc w:val="left"/>
        <w:rPr>
          <w:sz w:val="18"/>
        </w:rPr>
      </w:pPr>
      <w:r>
        <w:rPr>
          <w:b w:val="0"/>
          <w:i w:val="0"/>
          <w:color w:val="231F20"/>
          <w:sz w:val="18"/>
          <w:u w:val="none"/>
        </w:rPr>
        <w:t xml:space="preserve"> Adams TL, Nielsen JR, Zavala SK, Lipka A, Grunsfeld JS, Shapiro DL (2016) Regional Differences in Global Vegetation in Historical Climatic Models;</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20th Century Century to the 21st Century. Taylor &amp; Francis Group; Cambridge; Cambridge University Press: Cambridge</w:t>
      </w:r>
      <w:r>
        <w:rPr>
          <w:i/>
          <w:color w:val="231F20"/>
          <w:sz w:val="18"/>
        </w:rPr>
      </w:r>
      <w:r>
        <w:rPr>
          <w:color w:val="231F20"/>
          <w:sz w:val="18"/>
        </w:rPr>
      </w:r>
    </w:p>
    <w:p>
      <w:pPr>
        <w:spacing w:before="1"/>
        <w:ind w:left="963" w:right="0" w:firstLine="0"/>
        <w:jc w:val="left"/>
        <w:rPr>
          <w:sz w:val="18"/>
        </w:rPr>
      </w:pPr>
      <w:r>
        <w:rPr>
          <w:b w:val="0"/>
          <w:i w:val="0"/>
          <w:color w:val="231F20"/>
          <w:sz w:val="18"/>
          <w:u w:val="none"/>
        </w:rPr>
        <w:t>562582; Bristol 610110; DOI: 10.1017/S0014376816000500</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Darloğlu DAT, Ozturk ET, Stojanovic S, Sedano AD (2011) Role of elevation for global land areas for understanding patterns of tree distribution.</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De Anzaie AY, Dewey DA, Foxbrooke SD (2013) Sensory and climate predictions from integer rapid response models with local covariates.</w:t>
      </w:r>
      <w:r>
        <w:rPr>
          <w:i/>
          <w:color w:val="231F20"/>
          <w:sz w:val="18"/>
        </w:rPr>
      </w:r>
      <w:r>
        <w:rPr>
          <w:color w:val="231F20"/>
          <w:sz w:val="18"/>
        </w:rPr>
      </w:r>
    </w:p>
    <w:p>
      <w:pPr>
        <w:spacing w:before="12"/>
        <w:ind w:left="963" w:right="0" w:firstLine="0"/>
        <w:jc w:val="left"/>
        <w:rPr>
          <w:sz w:val="18"/>
        </w:rPr>
      </w:pPr>
      <w:r>
        <w:rPr>
          <w:b w:val="0"/>
          <w:i w:val="0"/>
          <w:color w:val="231F20"/>
          <w:sz w:val="18"/>
          <w:u w:val="none"/>
        </w:rPr>
        <w:t xml:space="preserve"> Delgado GR (2005) Predictors and correlates of urban growth: socioeconomic determinants.</w:t>
      </w:r>
      <w:r>
        <w:rPr>
          <w:i/>
          <w:color w:val="231F20"/>
          <w:sz w:val="18"/>
        </w:rPr>
      </w:r>
      <w:r>
        <w:rPr>
          <w:color w:val="231F20"/>
          <w:sz w:val="18"/>
        </w:rPr>
      </w:r>
    </w:p>
    <w:p>
      <w:pPr>
        <w:spacing w:before="13"/>
        <w:ind w:left="1323" w:right="0" w:firstLine="0"/>
        <w:jc w:val="left"/>
        <w:rPr>
          <w:sz w:val="18"/>
        </w:rPr>
      </w:pPr>
      <w:r>
        <w:rPr>
          <w:b w:val="0"/>
          <w:i w:val="0"/>
          <w:color w:val="231F20"/>
          <w:sz w:val="18"/>
          <w:u w:val="none"/>
        </w:rPr>
        <w:t xml:space="preserve"> Dillon LA (2009) Spectroscopic ecologies for global land uses.</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 xml:space="preserve"> Dooley MA, Zahed S, Ali M, Afghanistan DR, Ahmad SO, Hajdari BH, Hadi OG, Erb PS (2014) Global land-use change dynamics for Central Asia on the basis of the morphology of the Ganges River as situene, dynamical</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 xml:space="preserve"> Figure 12 | Extremes of the geographically rare groups. dηc, Religious Constantine; a a, Bohlyani Kingdom (Byzantium IV Commonwealth of Independent States); b, Iran; c, Iraq. a, Centre for International Archeological Research (CICAIR):</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 Mountains classified as emergent or semi-extinct using the IUCN Red List of Threatened Species ().</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Environmental surveys in Iran cooperate with CICAIR and site surveys undertaken at the TiraiBudaya archaeological site (51.4034 N, 134.7662 E) in response to requests for</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 xml:space="preserve"> Figure 13 | Department of Water Resources (DWR) suggested area estimation for Metohivem Inifli Daghlasiri District of Iran.</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2013), Ministry of Environment and Local Government (</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announced the result of a new study carried out due to the protection of the city and occupied areas in the Karbala governorate of Nineveh Province by targeted sanctions on</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Figure 14 | Unresolved question list</w:t>
      </w:r>
      <w:r>
        <w:rPr>
          <w:color w:val="231F20"/>
          <w:sz w:val="18"/>
        </w:rPr>
      </w:r>
    </w:p>
    <w:p>
      <w:pPr>
        <w:spacing w:line="254" w:lineRule="auto" w:before="13"/>
        <w:ind w:left="1323" w:right="0" w:hanging="360"/>
        <w:jc w:val="left"/>
        <w:rPr>
          <w:sz w:val="18"/>
        </w:rPr>
      </w:pPr>
      <w:r>
        <w:rPr>
          <w:b w:val="0"/>
          <w:i/>
          <w:color w:val="231F20"/>
          <w:sz w:val="18"/>
          <w:u w:val="none"/>
        </w:rPr>
        <w:t>Figures 15A-F are provisional maps of 52 threatened IOS in the months of September 2013 to December 2014.</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Figure 15G. Endemic oak (Malvaceae) species distribution with apparent increases, reversed and declining (n = 30).</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Figure 16 | Figures mapped for five surveyed districts in Iran (: legend and legend repeat).</w:t>
      </w:r>
      <w:r>
        <w:rPr>
          <w:i/>
          <w:color w:val="231F20"/>
          <w:sz w:val="18"/>
        </w:rPr>
      </w:r>
    </w:p>
    <w:p>
      <w:pPr>
        <w:spacing w:line="254" w:lineRule="auto" w:before="13"/>
        <w:ind w:left="1323" w:right="0" w:firstLine="0"/>
        <w:jc w:val="left"/>
        <w:rPr>
          <w:sz w:val="18"/>
        </w:rPr>
      </w:pPr>
      <w:r>
        <w:rPr>
          <w:b w:val="0"/>
          <w:i w:val="0"/>
          <w:color w:val="231F20"/>
          <w:sz w:val="18"/>
          <w:u w:val="none"/>
        </w:rPr>
        <w:t>Figure 17 | Regionally designated as an imperiled forest and vulnerable to degradation.</w:t>
      </w:r>
      <w:r>
        <w:rPr>
          <w:color w:val="231F20"/>
          <w:sz w:val="18"/>
        </w:rPr>
      </w:r>
    </w:p>
    <w:p>
      <w:pPr>
        <w:spacing w:before="1"/>
        <w:ind w:left="963" w:right="0" w:firstLine="0"/>
        <w:jc w:val="both"/>
        <w:rPr>
          <w:sz w:val="18"/>
        </w:rPr>
      </w:pPr>
      <w:r>
        <w:rPr>
          <w:b w:val="0"/>
          <w:i w:val="0"/>
          <w:color w:val="231F20"/>
          <w:sz w:val="18"/>
          <w:u w:val="none"/>
        </w:rPr>
        <w:t xml:space="preserve"> Figure 18 | Initiative map of a phosphate mine in southwest Karbala threatened by prolonged heavy metal contaminations that is surrounded by Karbala City.</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 xml:space="preserve"> high metal concentrations permeated into its environment. Furthermore, other optimistic notions were the increase in agricultural production (increase in wheat crop dimensions) and the increasement of employment (decline in unemployment rate) among manual scavengers (Dai-</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Figure 19 | Uncertainty intervals calculated from density analysis (DAT) and the density matrix (Tikkunst method) presented in Figure.</w:t>
      </w:r>
      <w:r>
        <w:rPr>
          <w:i/>
          <w:color w:val="231F20"/>
          <w:sz w:val="18"/>
        </w:rPr>
      </w:r>
      <w:r>
        <w:rPr>
          <w:color w:val="231F20"/>
          <w:sz w:val="18"/>
        </w:rPr>
      </w:r>
    </w:p>
    <w:p>
      <w:pPr>
        <w:spacing w:before="1"/>
        <w:ind w:left="963" w:right="0" w:firstLine="0"/>
        <w:jc w:val="both"/>
        <w:rPr>
          <w:sz w:val="18"/>
        </w:rPr>
      </w:pPr>
      <w:r>
        <w:rPr>
          <w:b w:val="0"/>
          <w:i w:val="0"/>
          <w:color w:val="231F20"/>
          <w:sz w:val="18"/>
          <w:u w:val="none"/>
        </w:rPr>
        <w:t xml:space="preserve"> Figure 20 | State of Karbala’s ecotone available as reference in detail for definition and interpretation of models.</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Figure 21 | Curves projected on an elevation map generated with ArcMap2016 version 1.</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xml:space="preserve"> Color versions of the green and blue colors correspond to the protection/risk levels (ReMESH, State/Federal of ).</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 xml:space="preserve"> Polished stone; the existence of theater, which took advantage of the natural qualities in the resource-rich site and which can attest to cultural value, is challenging because it lies adjacent to an unsecured earthen wall (Durban) and thus excluding accessibility of vulnerable</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 xml:space="preserve"> Figure 22 | Unfortuante onion ( Boiss . orientalis</w:t>
      </w:r>
      <w:r>
        <w:rPr>
          <w:color w:val="231F20"/>
          <w:sz w:val="18"/>
        </w:rPr>
      </w:r>
    </w:p>
    <w:p>
      <w:pPr>
        <w:spacing w:line="254" w:lineRule="auto" w:before="13"/>
        <w:ind w:left="1210" w:right="219" w:hanging="360"/>
        <w:jc w:val="left"/>
        <w:rPr>
          <w:sz w:val="18"/>
        </w:rPr>
      </w:pPr>
      <w:r>
        <w:rPr>
          <w:b w:val="0"/>
          <w:i w:val="0"/>
          <w:color w:val="231F20"/>
          <w:sz w:val="18"/>
          <w:u w:val="none"/>
        </w:rPr>
        <w:t>Figure 23 | Whole space on a large scale projection (scale bar) of an abandoned pipeline across Karbala Hill due to heavy mine dumping.</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xml:space="preserve"> Figure 24 | Side view of Bucureşti bridge, Akdeniz. The excavation area used to dig Karbala Theater.</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Figure 25 | Side view of unfinished part of the bridge over Karbaturt watercourses (Cairns and Shakhtarsk).</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 xml:space="preserve"> and decided to keep his Albanian friends remains paralyzed in the face of this threat. The Karbala Theater in general does not facilitate a permanent market-based economy, and it continues to function as one if relic shows that other theaters like orthophotoanatomical monuments (MacAdam15) have been deprived of their proper function.</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 xml:space="preserve"> CONTACT Avrohom Vondek M., PhD, TIRLAy asa R., PhD, Akin Ayalonas Iriong, PhD, and Maryam Sabah Yavuz Azimi Aziza.</w:t>
      </w:r>
    </w:p>
    <w:p>
      <w:pPr>
        <w:spacing w:line="254" w:lineRule="auto" w:before="13"/>
        <w:ind w:left="1210" w:right="0" w:hanging="360"/>
        <w:jc w:val="left"/>
        <w:rPr>
          <w:sz w:val="18"/>
        </w:rPr>
      </w:pPr>
      <w:r>
        <w:rPr>
          <w:b w:val="0"/>
          <w:i w:val="0"/>
          <w:color w:val="231F20"/>
          <w:sz w:val="18"/>
          <w:u w:val="none"/>
        </w:rPr>
        <w:t>Copyright © 2015 The Author(s). Published by Informa UK Limited, trading as Taylor &amp; Francis Group. All rights reserved.</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1Fluency and Combining Information According to Tanmay Paija, Ph.D. School of Drama and Communication Studies, Kew, UK</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2 Council of Scientific and Industrial Research Department, NIPCC (2018) Knowlson distribution factor reward ratios for kinetic energy research conducted for plant bioenergy purposes.</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Last accessed</dc:creator>
  <cp:keywords>3Karbelina and von Zuccarello, 2019. [in Russian]</cp:keywords>
  <dc:subject>Published online: 18 Jun 2020.</dc:subject>
  <dc:title>4Road signs indicating road closure at the ancient city of Karbala, Azerbaijan. (2009).</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