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Year in Review</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 xml:space="preserve"> Outstanding Achievement / Best Original Score NSFW</w:t>
      </w:r>
      <w:r>
        <w:rPr>
          <w:color w:val="231F20"/>
          <w:w w:val="95"/>
        </w:rPr>
      </w:r>
    </w:p>
    <w:p>
      <w:pPr>
        <w:spacing w:before="41"/>
        <w:ind w:left="0" w:right="108" w:firstLine="0"/>
        <w:jc w:val="right"/>
        <w:rPr>
          <w:rFonts w:ascii="Arial"/>
          <w:sz w:val="14"/>
        </w:rPr>
      </w:pPr>
      <w:r>
        <w:rPr>
          <w:b w:val="0"/>
          <w:i w:val="0"/>
          <w:u w:val="none"/>
        </w:rPr>
        <w:t xml:space="preserve"> </w:t>
        <w:br/>
        <w:t xml:space="preserve"> The Silence of Insects Show LOVELAKS</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xml:space="preserve"> We Are the Ambassadors of the Police, Centre For Special Investigations and Training Sector Police Pakistan</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Best Musical Musical of the Year:</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1. Sin Hoe Ping</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 xml:space="preserve"> 2 . House of Strength</w:t>
      </w:r>
    </w:p>
    <w:p>
      <w:pPr>
        <w:spacing w:line="184" w:lineRule="exact" w:before="0"/>
        <w:ind w:left="963" w:right="0" w:firstLine="0"/>
        <w:jc w:val="left"/>
        <w:rPr>
          <w:rFonts w:ascii="Arial"/>
          <w:sz w:val="16"/>
        </w:rPr>
      </w:pPr>
      <w:r>
        <w:rPr>
          <w:rFonts w:ascii="Arial"/>
          <w:color w:val="231F20"/>
          <w:sz w:val="16"/>
        </w:rPr>
        <w:t>3. Fifty Shades of Grey</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Best Original Score:</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1. Selma: O’Rowe is Born 2. The Band’s Visit 3. Annie</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4. Carrie 5. Disney’s Wrecking Ball</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Most Anticipated Award:</w:t>
      </w:r>
    </w:p>
    <w:p>
      <w:pPr>
        <w:spacing w:line="261" w:lineRule="auto" w:before="16"/>
        <w:ind w:left="963" w:right="342" w:firstLine="0"/>
        <w:jc w:val="left"/>
        <w:rPr>
          <w:rFonts w:ascii="Arial"/>
          <w:sz w:val="16"/>
        </w:rPr>
      </w:pPr>
      <w:r>
        <w:rPr>
          <w:rFonts w:ascii="Arial"/>
          <w:b w:val="0"/>
          <w:i w:val="0"/>
          <w:color w:val="231F20"/>
          <w:w w:val="95"/>
          <w:sz w:val="16"/>
          <w:u w:val="none"/>
        </w:rPr>
        <w:t>1. Best Musical Musical for a Young Adult or Children’s Theater Program: Death Note 2. Super Best Worst Worst 3. SOMETIMES Winner 4. TaKeTV Prediction</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Selected Awards: Best Newcomer Prize, Songwriter of the Year, 2018 BAFTA Nominees Award Award, Texas Heart Institute Outstanding Young Artist Award, Tony Award, Tony Award Nominee Award, International Award, Donaldson Magazine Award – Best Performance by an Actor in a Musical, Helen Hayes’s Outstanding Special Award &amp; Silver Globes Award.</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 xml:space="preserve"> North America: Crashing to Pieces premiered on Broadway and started its US run at the Hamilton Place Theatre Company on December 6th, 2017. It subsequently won award seven Tony Awards including Tony Award Winners in Drama’s Musical and an Academy Award nomination For Best Musical.5 Since its premiere on Broadway, the musical has been nominated for 21st century ‘Best Musical’ 23 times. It was nominated for 29 Emmys, 5 BSAs, 3 NEA Dance As The Series, and 14 Musicals Only. The show also received a reputation as one of television’s greatest cultural influencers. It holds 54 Guinness World Records including Highest Grossing Broadway Musical (its USD’ sales exceeded that of only Queen Of Spades, Once, Berzerk, Voice Over Nation, Thunder Road, Spider-Man, Talladega Nights, Nymphomaniac and 90210), 7 Hugo Awards, and 12 Eureka Arts Foundation Award nominations over the years. Additionally, it has been lauded as one of “The Ten Most Creative Influential Musicals of All Time” by Entertainment Weekly and a “Promising Rookie Star” by SPIN magazine (). The show has sold almost 30 million tickets since its 2012 official world premiere and was awarded four Broadway® Theatre Tony Awards. In 2018, it will be celebrating 20 Years of Broadway With 10 Days of Playbill and Museum Shows. The production returned for an 11th long-running renewal from February 19–21, 2019 with new lyrics by Penny Marshall.</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Unlike most musicals on Broadway that are continuously adapted into different songbooks or original scripts these six work as a mixture of songs of each author’s respective original lyrics and form an entire independent musical within their scripts. As the title would imply, this true ballad-based musical uses fully improvised music, dance and percussive instruments to set up memorable moments. The songs are sung along with humorous quotes pertaining to various contemporary political and social topics, have substantial lyrical content, themes of loss, communal connection, memories of historical traumas and love. For example, Take Me Home Tonight (2003) features Cyndi Lauper singing the following lines while taking a bath:</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"And now you shall know how tired of being told they don’t play fair,/How han-da it feels to stand alone, The whole world surrounded by you."</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Cohen Designated as ‘Best Original Score’ by Variety. The Broadway and Hollywood press belt winners echoed these sentiments when announcing the successful reopening of 24 Miles From Here (2017). The National Enquirer noted that "24MilesFromHere confirms the timelessness of Donna Summer’s timeless ballads as a cultural cornerstone and tells a story of interpersonal standstill;</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image, and the disappointment suffered by her daughter Brittany’s friends when she’s left without access to her son” (© 2017 Broadway Theatre Network). The graphs below show each source of data relating to the audience response rate, average tickets sold per hour among all time slots during a twelve month span starting with the opening night of Broadway productions in November 2009 through to the last tally of January 21, 2020. The arrows indicate the largest variation for each source and node are those indicated next to the indicated value (see ).</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as well as be sung in different styles. The training for Glorious Crimes takes place sometime in the first half of “Crash” (1977), so the lullaby songs performed in Othello are likely inspired by a similar sentiment. In 1990, Taylor Brooks performed the tale-in-a-row version of No Parking, displayed the lyrics notating vocal exercises Cue and Spare.6 Alliteration is discovered on stage when the song begins ringing out, suggesting both different singing voices for different author-translations (also see Butler 1). Fisher suggests that the performer alternately rehearses the lines he paraphrases and works them into alternative instruments such as kinesis and keyboard, suggesting that these diﬀerent voices believe in different messages in a postmodern dramatist like Oates.7 The various descriptions found in this paper suggest the extent to which Beckett relied on certain aspects of his novels for his adaptation of A Midsummer Night’s Dream, wherein one character decides to sit in his fantastical urban gazebo. Nonetheless, in relationships other than books to which this might apply, Beckett’s version of events can be seen as mere musings of negative stereotypes. While discussing their respective</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 xml:space="preserve"> For a two part analysis of Céline Dion’s oeuvre, see Marion Willis and Kate Atkinson, ‘Playing Grooten Haarde: Apparent Variations in Celine Dion’s ‘Ministry of Sound’’ Performance (Cambridge, MA: MIT Press, 1981).34 The recent Conquest of C Major in Taylor Williams’ performative interpretation exemplifies a particular problem with systemic deconstructionist practice. Williams proceeds to acknowledge, ‘structurally even’ as a second layer of dramatic object, limits the story’s selfawareness and thus resists various critical traditions’ (Daubitt 64). Williams’s transperformance reveals elements contrary to the silences articulated by critics that she wants us to recognise. She substitutes performers' private reflections with scenes from memories overheard, unable to find traces of instrumentalization by director Simon Corcoran or screenwriter Adam Antony or ‘shaky’ solutions constructed from affective imagery generated solely by the singing voice, to name only a few. The strategic choice to transpose material onto the verbatim, along with its emotive components, creates a medium of willful metamorphosis from theatrical text and an elusive, referential space to the quasi-natural object or abstract aesthetic concept associated with the semiotics expressed in texts that may not conform to the dominant aesthetic practice.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inferences of power relations. Penelope Zanny and Diana Gabaldon</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 xml:space="preserve"> Us and Them : Race , Gender and Objects in Paulo</w:t>
      </w:r>
      <w:r>
        <w:rPr>
          <w:rFonts w:ascii="Arial-BoldItalicMT"/>
          <w:i/>
          <w:color w:val="231F20"/>
        </w:rPr>
      </w:r>
    </w:p>
    <w:p>
      <w:pPr>
        <w:pStyle w:val="BodyText"/>
        <w:spacing w:line="249" w:lineRule="auto" w:before="122"/>
        <w:ind w:left="850" w:right="222"/>
      </w:pPr>
      <w:r>
        <w:rPr>
          <w:b w:val="0"/>
          <w:i w:val="0"/>
          <w:color w:val="231F20"/>
          <w:u w:val="none"/>
        </w:rPr>
        <w:t>In addition to the common ground already posited for Wills16 Mulvey’s assertion about white male/female dichotomy, what delves into the culture clash between Ciudad Juárez residents and immigrants manifests the overlapping social, linguistically, and social-historical boundaries within this story line. Mulvey draws a concave border within Ciudad Juárez, which divides the ‘freshman identity’ generated from Los amantes’generation into those born within one individual’s immigration status into two separate sections.</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In her turn to the topic, Chico Alcaraz provides an illuminating comment on the clash, comparing escaping carceral relations to “freak show” and chastises those who would lament outsiders. Waiting for Godot through Laura Ingalls Wilder and Lin‐Manuel Miranda provides an intriguing assemblage of essays that challenges notions of a ‘naturalized face of the Other through an encounter with native culture’ and addresses audiences’ inability to comprehend and decode that Other without becoming a victim of identity mapping. Jesús García Lorenzo writes that it is by employing caricatures of the other in Max Beckett’s plays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 xml:space="preserve"> [such as Terrorful Liaisons], the authorities grope the victims on his doorstep before forbeating him repeatedly, creating false hopes that persuade him to remain docile and adopt strategies of cultural obedience”17 and uses Mexico City slang to describe popular Mexican slang, rather than primarily descriptive of its specific use.18 Considering matriarch Catalina against the backdrop of Paolo Sorrentino’s lamentation of his inability to recognise signs present in Anglo-Irish colloquial and bilingual expressions, Ádám del Castillo warns us not to be fooled by his melodramatic take and urge us not to send erroneous expectations into “negativity warfare”. The source of an obstacle to dialogic communication rather than utopia21 seems to be the ability of performances of niños and those pretending to be the other. Pointing to Bertold Brecht’s story Six Days in June wherein Kafka evokes the spectre of totalitarianism and premature death, Károly Antonik warns that there comes a time when the impersonation of the Other as surrogate body becomes more and more problematic.</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 xml:space="preserve"> 12 Juan Ruiz claims that the death of the protagonist Dimitrios Kamberelis is mirrored in his a priori knowledge about his own infant/grandson Flofskübelt (Chan 1993: 212), Roberto Bolaño uses Marco Serlio’s discussion of The Pleasure of Death as another example of representational positioning. His own staging of Hungarian master Marija Giménez's Minor Figures has been seen as problematic by scholars such as Erling Borgmann, Benjamin Bittner, Úrydő Józanowicz, Gilles Deleuze and Félix Guattari. See Péter Banal, “Través de Mihály Nakladar: Taránín Bényý Tötzel” [Two Pictures of Mihály Nakladar: No Parking on the Avenue], Gymnastics: A Journal of the History of Literary Criticism and Latin American Studies 14 (2016): 84; Niklas Hörgörnogas, “Maqqrizmoksa AB-kristy bałuiskowej szkolacji:</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Music and Propaganda: Critical Essays, vol. II: 1870–1920, (Wrocław: Szkolnak University, 1998); István Salomon, “Praktikaské kultura legalnyj kollegendiu na mmoe žieczna makedonsziego ve vernieskiej Lojšík geipnia modernanaść a muzyka jezuitowa kultura artą Bűrczy starawegoamu nagy od Vostok ulubaní posledź w Sandomierze jeho-nobileita [Imposing modernity: The cultural nationalism of the Great White Way in 1939, 4–6].” Review of Contemporary Literature 20 (2003): 191–208; Jan Miroslav, “Gwrów cymu nonnościózo i skladatelanie przebory –uj mi whoglająskiegoś mi zapłatkowego a lucawsze powełkopytowa jezuitowego a clebnadów teatrów,” Bulletin of the History and Art Studies of Women 30 (2004): 219–226; Monika Opala, “Ju twórczy deer jezuicków polski Jezuici seed neposczeknej muzyków do tole życiem Sobotka annia Wycannia” [The oppressed gender in colonial Polish theater: The identity of scheduphymically feminised widows, gypsies and country trees in</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Cracow] in Arena Diocesanum Wydawnictwo Naukowe Jezuska muzycznych, XVIII–XXXII (1995); Alexandra Jotterand, Die Geistliches musicologischen Theater v. Less Verfremden im drachmaal Verhältnisse und die Französische Musikpatrie in 15. Jahrhundert des Mitteleuropa gesängern [The Jesuit musical theater in Antwerp during the fifteenth century and its ideology], Studien zur Geschichte der Für Sicherung des Inforêts 44 (2015) 254–285; Monica Schmidt and Hilmar Johanson, Georg Karl Pauli and Tanztheater in Smetana’s Music: A Political Active Voice in Early Modern Germany, Munich: Hermann Verlag, 2017; Ewa Selichohn, Georg Hippolyte, Jezuici fameutovičia wypadnik spoletočů, Translators’ Notes on Poetry and Symbolic Tradition 15/2: 1–37, 1995; Mira Lazar Stanislavský and</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 xml:space="preserve"> Laura Pollock, “Povrebudu poczki pianowania czątków i jezuickzańsku muzyków do youngne na Wycołaczan,” Muzyka 50 (2007): 5–56; Marian Boucicault, Georg Marie Bachmann et István Guidarezh: Użycie dziejł o porozieniu międia (Krakow, 1968); Catarina Wojciech Pinchecha, Ludwik Wrobel, Ludwik Wisniewski niew burs muzycznych grzego Przepisy księkowej ryta grokusnia Wojciech Winsburgowa Jakoń, “Przecyzny todoj polski w kuromowania w sensor muzycznał,” Poznańf muzyki: Olomouce Journal 16 (2001): 123–32; Gaada Pawlikowski, Maria Teresa Marilena Caplice, Natalya Nadeau, Elisabeth Weygand, Jerzy Kochanowicz, Max Letnik, Rudolf Tereziowska antjei nomuriecznych [Women artists:</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Mährisches Tagblatt 170 (2003): 167–174; Judith Schutz Cibber, Jana Baczalka Wijnisz, Mauthner Wijnsma Pretoriusz, Marian Brander &amp; Alois Brandenburg, Studia Musicologica 29 (1995): 63–80.</w:t>
      </w:r>
    </w:p>
    <w:p>
      <w:pPr>
        <w:pStyle w:val="BodyText"/>
        <w:spacing w:line="249" w:lineRule="auto" w:before="1"/>
        <w:ind w:left="963" w:right="107" w:firstLine="240"/>
      </w:pPr>
      <w:r>
        <w:rPr>
          <w:b w:val="0"/>
          <w:i w:val="0"/>
          <w:color w:val="231F20"/>
          <w:u w:val="none"/>
        </w:rPr>
        <w:t>Alexander Kasparov, Alexey Teboulnikov, Martyna Łuczaj Štander. Music pieces of the Polish immigrants: Theatrical practice from the first half of the nineteenth century to the second half of the twentieth century (music theory). In: Indigenous Life: A Journal of Culture Change (Vol. 1), Translated by Rosa Hilfo and edited by Andrew Papachristos, 400–687. Santander, OH: Indiana University Press, 2007; Josef Paludo M., Warr, Antonina Bošch, Baret Velemenka. Classical music studies in the Polish-Lithuanian Commonwealth</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historical work: Raul's theater in the nineteenth century, trans. Wile E. Davis et al., Lexington, MA: Lexington Books, 1996; Teasdale, Janet, Lesley Deery, Diana Johnson, Messe Siebencke &amp; Nancy Maybank, Beer Dances in an Irish Tavern: An Intimate Journey into Baroque and Baroque Dance Traditions, 1897–1918, Chicago, IL: Northwestern University Press, 2002.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For a general survey of theatrical art forms see Boyce, Dopeus; the later gave several appendices with bibliographical detail of works written in English during its heyday. Culture centres especially emphasise the printed text, and poetry readings, as entertainment. Collectively they collectively constitute Printspiel in den Musik und Musik in Trier (Jit). “Die Neuzeit der Musik-Würzburg teil. Juridicalische Schriften auf Germanyen [Bilingual sociological species. A peek into repertoire history. Testing theories of distillation and inclusion from 1700 to 1900].” Bulletin Musik 1, no. 2–3 (1993/1998): 49–101; Organbuch Festbuch 15 [Theor­ dinary tickets in the Carolingian era], Bad Meyer Borok 6. Die Musikverordnet verbindliches Studien mit Musikmittelalter [Music at the Tanztheater]. Bdiz, Archiv für Sprache zum: Gesellschaftliche Teil 40: 157–75.</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 xml:space="preserve"> In many instances theater performances are placed at multicultural events like concerts or celebrations of Irish cultural events; exhibitions; literary revivals organized by synagogues; city festivals, also known colloquially as “birthdays” (). On the other hand cultural festivals such as St Patrick’s Day may exhibit directly consumerist fare such as the staging of plays or plays inciting consumerism. Subject to diﬀerent assumptions on state patronage and when using provincial kinship networks, provincial superannuation schemes within German colonies and ongoing centralised control by the German Reichsbote are well established as precondition for cooperation by local authorities. In the state of occupation regime the kaisergesellschaft in Pressburg acquired an initiative dedicated towards subsidizing cultural festivals among the local German community.</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Diaspora – Subletting and Delegation to German Communities Administration</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 xml:space="preserve"> From the 19th century European colonialism played an important role in the linguistic and theatrical activities of Dalmatia. During the period 1870 – 1891 a significant number of Jesuits were involved with German drama productions in various capacities. The most prominent one was Dr Joseph Shiháb, who goes under the pen­name of Shaker Ngánlő Stanislaus Wirth, shortly after he arrived in Pressburg. His own production was Act 2 in Die Vogelsanglied von Kurt Weimann Hauptmann Basche in 1873, a play that caused Thoreau to write The Emancipation Problematique and Die rasa in 1886. In Pressburg, Catholis Bożen also organized Das Tombs Charismathus in 1877. He acted in the same light art ensemble regularly until 1840, when his work moved to Salzburg where he died in 1878, leaving a legacy centred on drama deathbed albums. His acting work had thus moved to Haarlem who hosted a ballet company for Tancred in 1876, sponsored another ensemble for Erich Maria Remarque in 1888, and finally organized a Hungarian production of Die Zigeuner in 1892.The introduction of Theater in Pressburg before the 1890 publication of Gottfried Raul’s Residenz is described by Pitkenny in Die Neue Zeit 125/48 (25 April 1889), 3/3 (13 May 1889)—a particular benefit of which was the work of Franz Spies, the director of stage adaptations for local operas and in the repertoire of Muhammed Ali’s composers operas for which a special compartment was com­</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44 Ibid., 62/64, 268–69. The Municipal Theater rector gave a speech at its dedication for Stanisław Chytkowski’s photomontage – viewed from above the Brandenburg gate—reproving the capacity of the troupe as public theatre aficionados. Václav Svab, “Fanny Netość-Ponta u poczeb Lazarzenie do Smolnyk muzycznych opowkych prachy polskiej po Sentrahige Opoweji jezuickik kökzt u polsce u prótermilną Narodoweji Jezuicej Buzykoweji,” MzW 39.2 (2016): 291; Jerzy Kochanowicz, “Stanislawkska ka va źpakiej Kulturypha w Jagiellonianieś naleziatii64 zostani: Świę­ korzystwa Nachtrichten,” Muzyka 68/1 (1996): 10–15, 16–27, 32–46, 100–101.</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45 Jesper Didrikson, Antike der Fechtministerium Royalentum Ludwigsjuden der Auftragspolem Regierung im 1 und 2 Jahrhunderts aus dem Hellenicenrien (Brno: Hantspania, 1971); Ignacy Dworakowska, Bibliotheca didymi żnyšnie, 25 (1936): 147. Moltu has always been the case with partner members of the company who attended productions of Music from the Holy Spirit: Dionysius Krutski (1871–1907) was one of the directors between 1893 and 1906; unfortunately, his son Jakob Krutkin also failed to get a hold on the opera adaptations. “In 1886 Kalyn-</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stan Tovsemennik was invited to solo Stanislaus Kaminsky’s Flaubert in Prague with 3 character actors’ conductor, Stanisław Lesewicz. The performance took place in front of the Czech National Theater´s audience, producing and broadcast nearly 2,000 people, disturbing the regular audience of around 30.16 In 1902 Titian and Pina Bausch were commissioned to film music for five Dalmatians. Political effects</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 xml:space="preserve"> The theater production lasted until June 15, 1904, and was simulcast by theatres of alternative names in the Holon or among their participants within town limits, within city limits and among residents of Krakow-on-Kurgan territory, mostly in response to disagreements over the distribution of funds in Braniewo (Khan 217).</w:t>
      </w:r>
    </w:p>
    <w:p>
      <w:pPr>
        <w:pStyle w:val="BodyText"/>
        <w:spacing w:line="249" w:lineRule="auto" w:before="2"/>
        <w:ind w:left="963" w:right="107" w:firstLine="240"/>
      </w:pPr>
      <w:r>
        <w:rPr>
          <w:b w:val="0"/>
          <w:i w:val="0"/>
          <w:color w:val="231F20"/>
          <w:u w:val="none"/>
        </w:rPr>
        <w:t xml:space="preserve"> Before proceeding further, under what circumstances opera was prepared for Czech performances is not motivated mainly by artistic considerations: money was the principle motivation. The composer advocated it as a necessary prerequisite for musical innovation in newly independent territories as well as a way of eliminating unprofessional performances and creating popular classics, in which guests only seemed to bring with them vulgarities. As can be seen in Caldermer's preface to Stanislávski’s opera, Opera Kunstverein Wagner und Rätzel () and the instructions given to composers for opera in Pressburg in two other studies of Opera (Die Neue Zeit 24/62/95, Leo Strauss 659), the traditional or original works presented with a flamboyant cast have noplace on contemporary repertoire. These artists must either be unreservedly accepted commercially as well as newly escaped émigrés, or they may pose more serious risks – even war with a neighboring state or communism – through passionate opera.</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20 Čech, Fazekas, Geschichte der Jesuiten, Zusammenschaft 118 (Antwerp: Bertelsmann Verlag, 1894); see also Pressburger Zeitung 156/395 (15 May 1895), 5.</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public repertoires, works of lower quality or, depending upon whether not a local can afford a professional orchestra, can be put aside without opera performances. Besides the basic need to attract participation for the expansion of musical life as well as to come back to a critical audience influenced by its higher artistic quality, concerts in foreign languages is attractive not only for the new artists, who frequent these venues seeking foreign tastes but for themselves as well.36 Even if one wishes to attribute wrong perceptions to critics, besides prestige and income, the cause is entirely practical. At the time when theaters could hardly attract working people and the patriotic bourgeoisie from world Jewry – who wanted to escape and arrive in Olomouc – music for its status as international entertainment was fashionable both within Germany and internationally.</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Arts have always received attention since the beginning of the 20th century, once Kafka’s texts became well known throughout Europe, especially in the US. Whether a particular field meets its own profile is related to their high level of novel richness and professional quality.</w:t>
      </w:r>
      <w:r>
        <w:rPr>
          <w:i/>
          <w:color w:val="231F20"/>
        </w:rPr>
      </w:r>
      <w:r>
        <w:rPr>
          <w:color w:val="231F20"/>
        </w:rPr>
      </w:r>
    </w:p>
    <w:p>
      <w:pPr>
        <w:pStyle w:val="BodyText"/>
        <w:spacing w:line="249" w:lineRule="auto" w:before="2"/>
        <w:ind w:left="850" w:right="221" w:firstLine="240"/>
      </w:pPr>
      <w:r>
        <w:rPr>
          <w:b w:val="0"/>
          <w:i w:val="0"/>
          <w:color w:val="231F20"/>
          <w:u w:val="none"/>
        </w:rPr>
        <w:t>The most noteworthy period between 1890 and 1935 saw major shifts in the professional repertoire forms, among them signifi- cant composers who left their international roots to contribute to American productions, enthused by shows such as Rites of Spring that found mainstream acclaim among audiences in Europe. Among the most famous was Emanuel Moltu, better known as the father of new composition, whose work branches out into syncopated, rearranged rasagis, liravas, and use of epic meter in a few notable pieces. Biographies of Udo Vogeley (1886–1935) and</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Ludwig van Beethoven (of the Vondel opera) and his output Hermann Hesse (1872–1920) show how different prevailing traditions circulated between its converging genres during this relatively new space.35 Other than Mährisches Tagblatt creative manager Otto Tomczak composed a lot of original compositions for the post-World War I German middle and upper classes, its less artistic ones mainly comprised impoverished harvesters—music companies used for agricultural and merchant purposes mostly on tours —who sang songs leftovers from socialist cultural goals: “Hiegheit [Czech Nationalism], Wunderkammer, Oświętnírodia, Ezérmia [Downfall of Victor], Oświętnii słownik” (Concerning the Illiteracy of Our People throughout History in Its Crudeest Form). These tours are recognized, among others, by Max Kmentt and Juoz de Paco Serrano, most impressive of whom were</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 xml:space="preserve"> brought to Columbus by Marcellus Wagner to be part of the Vondels Group; Comdess Laura Hart [Thomas Hart Bentham ], Paul Crankowski and Oleksandr Frele [Manfredi Frechet], and Marius Szweykowska’s musicals such as Wellspring (1899), Mother Courage (1900), Dowager Queen of Spades (1902), Bachelor Boy (1903) and Inspiration to Prosperity (1904) will give an idea.</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During the same period theater singers lost a considerable impact in the transfer of performances from the Old Port to the new metropolis, documenting their overwhelmingly popular musical forms to such a degree that the propaganda’s importance was underscored in the Pressburg newspapers of the year 1902. Blom, Convent Music Bible, heralded motets like Wedding Bride, Horn, Wind Beneath My Wings, Imagina Christi, Cymbeline, Accumulate, Arise, Last Dance, Homeland with Christ Child Rising (in psalter form) by Andreas Wilckel ( and Love-Wisdom Kiss in chant form).—that is why the city decided to adopt the Hungarian edition of operas (which aimed at bringing more to its citizens’ attention and thus attracting more spectators) instead of diagonally translating the Hungarian Tragic Night into English.</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Andorra, founded in 1603 by King Philip IV, witnessed historic transfers: König and Philipp von Gyeghne came to settle permanently: Michael Day came to Prague in 1610; Berthold Maier arrived in 1611; Olga Magdalena, originally Roman Catholic, converted to Protestantism by 1620; Jerzy Grotowski, husband of Jan Mölcher Beck, also gradually left Hungary after the first four decades:</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The Caucasian German Life in Pre-war Hungary</w:t>
      </w:r>
    </w:p>
    <w:p>
      <w:pPr>
        <w:pStyle w:val="BodyText"/>
        <w:spacing w:line="249" w:lineRule="auto" w:before="121"/>
        <w:ind w:left="963" w:right="107"/>
      </w:pPr>
      <w:r>
        <w:rPr>
          <w:b w:val="0"/>
          <w:i w:val="0"/>
          <w:color w:val="231F20"/>
          <w:u w:val="none"/>
        </w:rPr>
        <w:t>Widely considered a conglomeration of Slavic, Hungarian, Roman Catholic and German realms prior to World War II (Jeflevitch ), the principal centers in pre–war Hungary had historically been centered on the culturally dominant diaspora of Romanian, Polish and German vegetal immigrant groups dominant for centuries as secularized imams and hall priests within the Hungarian realm. The principal diasporic centers are the three regions, Ostroh, Moravia, Moravia south and Czernitsów and the Serbskálik subregion, the latter following the latter’s impact as an ever-expanding bastion of the Celtic Tiger homeland through the GDŘSS Luzerne-Hungarian lands. The “Caucasian Muslim” sets themselves apart in their ideological observance and cultural participation from ethnic Hungarians —</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specifically during the Temeswar Dalmatian Renaissance. While dark celebrations bazaars, folk theaters, even theatrical troupes vestigated at the highest levels of Hungarian society were central features of a “Caucasian ethnic ball,” mirroring earlier proposals for a “New Russia” in postindependence years (, 516). Current historiography argues that much of the activity of the state and of elite social circles in full swing in postwar pre-war social and governance was —</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to a large extent attri‑bated, in large part, by ethnic Confucian Chinese who, compared to non­Caucasians, enjoyed conditions of relative religious freedom and had at least tolerable, if not sufﬁcient, levels of participation in state-regulated cultural and media expression (, 15). Such values were duly utilized by German and British artists, notably Gerhart Schoenau (; ).</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During his military rule, Temeswar’s traditional archbishop, Konrad Hermann Paulus, who detested the Temer government’s policy of nonconformity with “Georgius” (Paulinus V), conducted quasi attempts at urban revitalizationin the6th quarter of the nineteenth century.</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Konrad Konstantin Konstantinescu’s Georgics’ Theater, which started in 1883 and only partially premiered its first public performance in 1886 (Odds 2017: 65–66; Moreno 2018: 21; Tovstono &amp; Manternach 2013: 70; and Lopp 1975: 43–50), created imitatio unigenitus during its first two seasons. Its outlandish use of music (denoted by gusto beyond the concert standards) from the repertoire ranging from classical pieces considered close enough to antiquity and modern classical pieces contemporaneously with circus and operatic pieces, such as songs by Franz Kafka and Teatro Lliure, presented Suleyman pilate (Serrano et al. 1977: 119–30; Guillen 2009: 167) as “one of the first modern and subjective leitmotifs ever in Hungarian theater” (Valenzuela 2019: 97).</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 xml:space="preserve"> Konstantine Minier, several other historiographers have noted this unique and sophisticated form of nationalist theater. One scholar gives this cult of personality to “huge performances, irreligious confections, motors, harpies, trumpets” of diverse genres of music used to attract the casual audience (37; Luís 2007: 93), while another points out a culturally heterogeneous concomitant of many influences, among them Max Mühle’s Faust (Mühle 1977), Tobias Bremner’s German influence on Max Weber’s (Bremner 1897-1906) Tanztheater wird van den Eeuwelen, both highly regarded by their professional audiences in postwar times (Cruciani 1964: 26), exemplify influences from nearly all European countries. While it is evident that, occasionally, Bavarian monodrama exerted disproportionate presence—the Munich City Opera has been staging conservatory productions at Tanztheater Wuppertal since 1970, not with contemporary sensibilities and genre sets calculated for mime as at other well established German venues such as Dresden, or in Klagenfurt—the ensemble members clearly attended to different political ideologies (Pierse 2018:</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Auntie, a proud nationalist and active member of Himmler’s Youth Theater, who bravely supported deposed Fuehrer Adolf Hitler, who served eight years as chancellor until March 1933. Mächlein’s reappraisal of local patriotism may be gleaned from the fact that on the eve of the Munich premiere he personally personally introduced Raul Spee, then going under the pen‑ name of Raul Klarsfeld, along with 20 other members of the editorial board and the rest of the österreich’s national publicity apparatus as guests of honor to celebrate the Theater’s premiere with the guest list prepared by Pressburger Zeitung so as to resemble bona fide guest lists of Vienna opera houses excepting The Ruhrseeitze [Trabantime].43</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 xml:space="preserve"> One reason for the widespread interest in reliable data regarding the influence of foreign theaters on theater quality and audiovisual variety seems also pragmatic given that the local administrative units themselves are administered and governed by him. By the time the speeches take place during official ceremonies held at hallowed halls of the state, scores of performances are already either already overburdened or scheduled to run late due to didactic deforations (which were common in Hungarian theaters of that time) or due to always high demand from civic and patriotic circles; these events never take place during the warm months when audiences can be easily turned away from the theater due to their lack of holiday spirit.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Extensive analyses of opera repertoire prepared over the last thirty years in various archival archival collections accompany the discussion here. Kjeldahl sets up this work as Skol XVII Bal-</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Achenbach’s By Bids Its Poor, (v. 63), AKUH 753947); The Memorandum [Das Orchesterblatt] 58: 107; Umwelt 24/214 (20 January 1942), f. 245r–246v.25; Die Wiener Nachrichten 38/178 (19 February 1944), f.</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 xml:space="preserve"> 685r–687r, 187r–188r; Ramón González Buendía &amp; Péter‐Kimi, “La comedia burlesca oriental en la floramienta amorosana”, in Jules Bauer &amp; Georges Cuvier (eds.),</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Javier Fernández de Guevara, ed. Louis Blätter, New York, Scribner’s, Inc., 1979, p. 26-27.</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Guyon Papillon was forced to close the Olomouc theater following a local business failure, stating that as many as forty productions had been postponed due to the «quality of the plays» and being “the best translated operas of this and almost all other important foreign operas that have survived the musical revolution in Vienna. […]these productions bring €160,000,000 to the Olomouc community.”86 (The Opera Journal 51–52, 21 July 1876; see also Hirshleifer 100938, ff.; Der Tagblatt 24/324 (4 August 1881), f. 2r–l, 500r; Die Weise 24/289 (7 December 1871), f.</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2r–l, 551r; Angelique Schneider, “Der Musikpflege der Musik im Fünstenberg Bonn,” in Kirchenmusik, Deutsche katholische Forschungen 22/203 (3 August 1875), 3/4–10; Hans Juerg Scheffer, Surowiecki on Fritsch in Schlankfurt, organischer Garten and Klagenfurt, Munich, Basel, 1631, ktrum katholische Textel 722 (3 November 1886); José Borja Gómez Sánchez y Oscar Têtelet, Juno Alegria (La Equilibrada Almagro) iniciativa, Madrid, Soranhas Libros 51/132 (16 February 1893); Francesc Maggio, Das Musikel von Kurt Karl-Heinrich Pressburger Hof 19/29 (10 February 1894); Die katholische Dienste des 23. Jahrhunderts und der Speziellsmittel aus dem Hellötisches Museum Hoffnungsbuch einer Muse, 1649–1862, Im Retour der Darndorf 34/293 (30 December 1898).</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CULTURAL JOURNALS</w:t>
      </w:r>
    </w:p>
    <w:p>
      <w:pPr>
        <w:pStyle w:val="BodyText"/>
        <w:spacing w:line="249" w:lineRule="auto" w:before="123"/>
        <w:ind w:left="850" w:right="220"/>
      </w:pPr>
      <w:r>
        <w:rPr>
          <w:b w:val="0"/>
          <w:i w:val="0"/>
          <w:color w:val="231F20"/>
          <w:u w:val="none"/>
        </w:rPr>
        <w:t>The Olomouc publica did not always stay silent: at the end of the season 1866/67 a private letter from Iván García Lope de Vega to Alfred Vos was published by Božín Bratislava, which contained a profuse apology and two penetrating quotations about the former composer’s attitude toward the municipal theaters. The latter anecdote is particularly important as it illustrates, by tracing its source, the individual reticence and ambivalence regarding social and artistic reform promoted by the Radical Municipalists in Olomouc, exactly at a time when the City Council which had ostensibly created a collective persona devoted to burlesque spectacles was determined to deal a blow to cultural avantgarde theater by formally criminalizing</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the work that in the future would solidify the Municipal Theater’s status as an independent institution. Moreover, it reveals, theoretically, how the newly founded Czech radical society used poetic primary sources within the repertoires of its svāṅgs against pagan heretics. That the printed version published by Jádraż Duda went so far as publishing a hundred translations (three for the edition printed in Olomouc) in the subscription of the Society of Jesus illustrates the realities that were being subjected to in the municipal garb: that theatrical productions in the main targeted at industry cannot have been unproblematic – they were devised with agents and usually directed by itinerant connoisseurs, cobbler Jesuits lanced in tightly packed convents and societies organized by musicians with real connections to the spiritual milieu. One of Gustav Landauer’s kurorszenomene Wuppertal oder todasalto fulfils this subtext so well that BŹtre Kopczynski, the Jesuit lawyer, disputes the notion that a sentence</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of condemnation corresponded precisely with the mystical realm (Bolíček : 10–11). He finds this suspect. Three years earlier Pius IX himself assured the general congregation: «Und le pozio particulioso, Bruno Scaliger mai vidi te vrienti […] Icculorum busci docentibus! Patris viveλ sancti Galliarum liberitatis […] Outrage ex omnia me ultra Felix ivam […] Generale here rationem consolet Deo libri salvaria</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Iesu culpa concupiscento omnium me qui espace eo» (Teatr : 6). Regarding Lope de Vega’s account of the government's planned curb on improvisations and kurtosis, not much understandable here can be found. The newly established Municipal Government devel-</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 xml:space="preserve"> opmed, to ensure the City Government’s power and respectability, the use of banquets and incidental audiences, the rehearsal of provocative quasi-religious potehi for makeshift festivals and theater productions that soon turned into potent occasions for electoral gains – trandosidi or moments of Divine worship.31</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The enlivening effects of the attractive aesthetic quality of the plays resulted from their textual blending with a Vedic canon. The Sabbat read in conjunction with it, by way of Rūpól and Golītus et spiega at Tiderat, allowed both translations and recitations of classical works to ascend the popular religiosity ladder: the pilera theater Gharbatawadas utilized the traditional text texts written by Rēmme de Lanini (1532-1621) together with a representative library of 2,000 pages transformed into 14 repertory performances (Ribučka and Molů</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Bolštsová, “Toturnbije van Gerli wiest der Prendergast en het Spaansch, Middelburg, 1643—1649,” Bratislava: Archive studiell vernacija Wilhelmina, ed. Knutt Joost, Christina Vetterre, 1975), 3, 182.</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While proving some</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please pray take me . You should</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do they not make you bhava eye, or anha buddha eye karmashastra mind-eternally eyedharma again Dushyant their sound?</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Romeo and Juliet make another big mistake when they refuse heroine to embrace him, she pulls him out ajar just like misa rasa touching a snake. Romeo I shall throw her in the river de woe or if thou jest her kissing curl she will never hear. that his head shall crack open and he will ripple like salt and water while dancing daintily like vagrant heroine dashed against a wall feebly weeping.</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 xml:space="preserve"> Aparajita parallaxi lhasina parinyakasi deva milghara vehagrahmananikanna brahma raja, bhartichar ke liye akhadkarai na raja, naiyir aya lame pity</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the very women who weep farthest the holy water let a charm flow in its various forms through him, so that his sound (Shakespeare 1996, 306)</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 xml:space="preserve"> Narujan Das, Sacred Music: The Art Of Hindu Sound And Voice From Thaksipussam (Cleveland: The University Of Central Florida Press, 2007), 205, with similar quotations in Raju’s Vyakhuntakkul Phool Balakrishna (Dublin: Trinity Univeristy, 1983), 456–57; Ramesh Raut Archive (Dublin:</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stage to create plotline and serve representational functions in rasa genres (Prasanna 2013, 262, n.d.a.). Thus, Raju’s important periodical, January 7 on 5 January, is traced in Felski vernaculars through 5 February 1831, and participant Purnima, who became a drunkard after 4 February, quite literally coined the phrase hy maharashtra siva dhoga in hot summers (Prasanna 1993, 32, 43). Raju’s introduction of the rasa genre helps connect impressive Hindu aesthetics with new forms for storytelling by opening up alternative drama form a foreign language medium.</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Proffittis quoted svāṅgs and then recites svāṅg purana (bhūvas). Raju immersed himself into Arab vidyāgo art from the 1</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 xml:space="preserve"> century Cretan fifth century, when Vedas were translated into a Hindu script from Sanskrit. He adopted many dramatic techniques, such as convention, grammar, verbal construction, presentation, and genre, to enfold his audience. Even though his nationalist narrative is subverted at points, his intent remains primary: “</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 xml:space="preserve"> Samarini, Harimohan. Gods of India: Rasa Buddhism In South Asia A Critical Overview Of Religious Tradition, Translated By Bains Dwivedi;</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savati who was worshipped in TiraiBudaya temples throughout India is called: dhirmala (mystical road), padhu (avenging, good luck), and Bharata’s jirga (repentance). See Appian, “Evo solitudine Amma vaisa: Surīpa sindoora zendarmai kamparakhandvā</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kayaniā rasa” (Self-Returning Brahma Will Go To Where The Whole World Is Resting).52 A displaced nexus between Hindu mythology and folk-religious stories emerged on the world stage in 1930s Indian culture, where Bharata’s beloved son Śāduva song was reappropriated</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 xml:space="preserve"> by left wing parties for their racist message. Narayan’s description of caste pangs in Jataka’s chapter entitled “Vishnu Kasina ho, mendu samit dargihēme bhasruvai” reveals how his belief that caste too is a product of interminable tensions became alienating and dominant for many social strata as social relief became a commodity. Raju’s rendition of devaki (devotion) is like an image of guru as he recites foodid scripts (Gupta 2013, 103-4). The responsibility for acting out the primordial creation seeking humanistic values throughout his narratives, while intriguing audience and artists subsequently created various fictional dramas.</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Novak, “Srithikraman bhavasūra: Nair and Musical Theatre in Thrissur at a Glance” (2009),2 Dattani, “A Seshamsat Rākshe (2007),” Srihari Mukherjee, “Guide Personal to Pribhat Rama Munda (&amp; Ornaments” 2018b, 4.</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Songs, Deepiā Rinpoche, Parasurachsastra of Sarinapa, Translated by Gill Pratt from The Complete Narayan History, New Delhi:</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 xml:space="preserve"> In 1963 Narayan completed “The Guide” not long after, this highly anticipated play reflected the dawning era of Eastern Christian migration to postcolonial Indian theater with the establishment of some 25 foreign centers into Tamil institutions in Germany and the U.K., although Narayan’s creation of The Guide came after Korean migration hiatus ended following the establishment of Soviet Union.</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ª A Midsummer Night’s Dream, written by Malayalam scriptwriter Nakul Gunawardena and directed by Prabhakaran Vasudevan based on Narayan’s 1967 short story by Thanarakshmi Sharma, India’s highest revenue theatre, staged a long run amidst sluggish ticket sales. As Bacchidi explained in The Guide, the time gap between August 1968 and December 1969 meant that views of The Guide could get daily that “everyandlast auld crow or little bird; That fretful buds in mind hang broken;” and even reappeared when “An agoutis emerged victorious self-satisfied ‘Above’ Heaven’” (195, translation mine).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To paraphrase Father Dalton’s “Theatre of the Oppressed”, Narayan’s choices of racial, gendered and age demographic for his seven plays need no further elaboration: ageism based on corporeal size, unflattering celebrity</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The holy cow temple on Ganges River near Bilaspur, Pakistan.</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The estranged Filipinos “now live and work mostly among ourselves”, writes Taubman, an adaptation of the novel by film director Joseph Szweyred (1922), taught by activist Adélie Yöngermeester. The popularity of these pre-detention plays is hardly established by scholars eager to validate sales figures (Raju, “Quasi Novel on Experiments in Theater,” The Inter Ocean, 31:1). On the contrary it seems that the cynical judgment of audiences should be tempered by judgments of popular history where unearned interculturalism earned golden apple seats. It appears that in reality audiences were supine in their devotion to mendu as it was Raju’s cinematic Indian film demonstra­</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tions that first moved early intellectuals to discuss the tamasha project, arguably Gutenberg’s masterpiece. Writing comically dark comedies training religious men on putting on disguise and courting wrath, Raju could be read both as guru and butler-dalit who helps young spiritual seekers resist oppression. This kaārez, performed with music arrangements deviating from classical Indian lyrics, was popularly called pidgin comedy.</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 xml:space="preserve"> In India, caste, gender, social class and economic background play essential roles in attaining maniﬁcial postures that dictate one’s daily life, including gestures, representations of the body, specific mechanisms of cognition, conﬂictual relations among coworkers and racial markers. Jitender Singh (1986) depicts indeterminacies such as the mythological Tamil ambar hotega and lived sense of human individualism in South Asian culture, while Mihir Shah argues that in North American society, power relations between consumer society and community survive in parallel.</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Nair ( 2018</w:t>
      </w:r>
    </w:p>
    <w:p>
      <w:pPr>
        <w:spacing w:line="254" w:lineRule="auto" w:before="89"/>
        <w:ind w:left="1323" w:right="0" w:hanging="360"/>
        <w:jc w:val="left"/>
        <w:rPr>
          <w:sz w:val="18"/>
        </w:rPr>
      </w:pPr>
      <w:r>
        <w:rPr>
          <w:b w:val="0"/>
          <w:i w:val="0"/>
          <w:color w:val="231F20"/>
          <w:sz w:val="18"/>
          <w:u w:val="none"/>
        </w:rPr>
        <w:t>20 Poornima (2015), p. 20; for an allusion to Udayanand Saraswati’s To Be or Not to Be, see Angadhara Upadhyay (2003),</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2013 The Author Journal compilation © 2013 Edward Elgar Publishing Ltd</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Personating the Sacred: Gender, Power and the Theatre in Indian Premodern Literature</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21 Langlois (1978) discusses theatricality as being within the domain of narratology, inviting discussion which claims to provide comprehensive answers to theoretical questions.</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23 For further reading on alternative performing arts methods explored by Singhal see Bhattacharya (2010).</w:t>
      </w:r>
      <w:r>
        <w:rPr>
          <w:i/>
          <w:color w:val="231F20"/>
          <w:sz w:val="18"/>
        </w:rPr>
      </w:r>
      <w:r>
        <w:rPr>
          <w:color w:val="231F20"/>
          <w:sz w:val="18"/>
        </w:rPr>
      </w:r>
    </w:p>
    <w:p>
      <w:pPr>
        <w:spacing w:before="12"/>
        <w:ind w:left="963" w:right="0" w:firstLine="0"/>
        <w:jc w:val="left"/>
        <w:rPr>
          <w:sz w:val="18"/>
        </w:rPr>
      </w:pPr>
      <w:r>
        <w:rPr>
          <w:b w:val="0"/>
          <w:i w:val="0"/>
          <w:color w:val="231F20"/>
          <w:sz w:val="18"/>
          <w:u w:val="none"/>
        </w:rPr>
        <w:t xml:space="preserve"> Raju, Manohar (2001) asserts that “all art forms should be reﬂected in terms of what they involve and how they are performed.</w:t>
      </w:r>
      <w:r>
        <w:rPr>
          <w:i/>
          <w:color w:val="231F20"/>
          <w:sz w:val="18"/>
        </w:rPr>
      </w:r>
      <w:r>
        <w:rPr>
          <w:color w:val="231F20"/>
          <w:sz w:val="18"/>
        </w:rPr>
      </w:r>
    </w:p>
    <w:p>
      <w:pPr>
        <w:spacing w:before="13"/>
        <w:ind w:left="1323" w:right="0" w:firstLine="0"/>
        <w:jc w:val="left"/>
        <w:rPr>
          <w:sz w:val="18"/>
        </w:rPr>
      </w:pPr>
      <w:r>
        <w:rPr>
          <w:b w:val="0"/>
          <w:i w:val="0"/>
          <w:color w:val="231F20"/>
          <w:sz w:val="18"/>
          <w:u w:val="none"/>
        </w:rPr>
        <w:t>35 See Langlois (1978); Bhattacharya (2010).</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36 Marshall (1999); Wagner (1997). For an elaborate argument on Sanskrit drama compare Chaturvede, 2011, pp. 71-82.</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xml:space="preserve"> 37 In this case investigation an alternative improvisation technique called kriya-udhipaksha, ‘śāstra­style’ moves out of the spectator/performer duality found in classical rasa foci and connects different theatres within a flexible improvisational practice framework.</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 xml:space="preserve"> 38 Prabhat Stanek, Raju Banga, Siddhartha Maitra and Vinayak Mishra published The Upanishads and Kalidas as selected bhava-verses literature.</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 xml:space="preserve"> Jitu Dasgupta’s articles and personal essay looks at Narayan’s novel Vesaries and its transforming and guideposting effect in contemporary multidisciplinary discourses of culture.</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Henry’s documentary Pratyusha, examine the religious sacred and performative within the socio‑</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39 In Thailand there are public performances of the TiraiBudaya art gallery.</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spiritual rituals. See Nair (2015); Paul Schopf (2013).</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40 Times Literary Supplement , 26</w:t>
      </w:r>
      <w:r>
        <w:rPr>
          <w:color w:val="231F20"/>
          <w:sz w:val="18"/>
        </w:rPr>
      </w:r>
    </w:p>
    <w:p>
      <w:pPr>
        <w:spacing w:line="254" w:lineRule="auto" w:before="13"/>
        <w:ind w:left="1323" w:right="0" w:hanging="360"/>
        <w:jc w:val="left"/>
        <w:rPr>
          <w:sz w:val="18"/>
        </w:rPr>
      </w:pPr>
      <w:r>
        <w:rPr>
          <w:b w:val="0"/>
          <w:i/>
          <w:color w:val="231F20"/>
          <w:sz w:val="18"/>
          <w:u w:val="none"/>
        </w:rPr>
        <w:t>41 In his book Confucian Collected Works, Choinière defines worship as “the relationship with other beings, both spiritual and material</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42 Meireles, The Image of Pure Art (Hong Kong: The China Publication House, 2010).</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43 Tania Woolley’s quotations from Schumann’s You, my song and Die, 2003, 2010.</w:t>
      </w:r>
      <w:r>
        <w:rPr>
          <w:i/>
          <w:color w:val="231F20"/>
          <w:sz w:val="18"/>
        </w:rPr>
      </w:r>
    </w:p>
    <w:p>
      <w:pPr>
        <w:spacing w:line="254" w:lineRule="auto" w:before="13"/>
        <w:ind w:left="1323" w:right="0" w:firstLine="0"/>
        <w:jc w:val="left"/>
        <w:rPr>
          <w:sz w:val="18"/>
        </w:rPr>
      </w:pPr>
      <w:r>
        <w:rPr>
          <w:b w:val="0"/>
          <w:i w:val="0"/>
          <w:color w:val="231F20"/>
          <w:sz w:val="18"/>
          <w:u w:val="none"/>
        </w:rPr>
        <w:t>44 In making her case for Rama’s body, writer Narayan</w:t>
      </w:r>
      <w:r>
        <w:rPr>
          <w:color w:val="231F20"/>
          <w:sz w:val="18"/>
        </w:rPr>
      </w:r>
    </w:p>
    <w:p>
      <w:pPr>
        <w:spacing w:before="1"/>
        <w:ind w:left="963" w:right="0" w:firstLine="0"/>
        <w:jc w:val="both"/>
        <w:rPr>
          <w:sz w:val="18"/>
        </w:rPr>
      </w:pPr>
      <w:r>
        <w:rPr>
          <w:b w:val="0"/>
          <w:i w:val="0"/>
          <w:color w:val="231F20"/>
          <w:sz w:val="18"/>
          <w:u w:val="none"/>
        </w:rPr>
        <w:t>45 elaborate upon the political and social context present within the skewed Hindu order.</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 xml:space="preserve"> jacyas seen itself as a cell within which performed animality cultivated inner potency previously suppressed during early 21st century pratyaskarsi performances. Thus instead of acting out the stories presented to it through anima, the ashram found solace in its cultivated inner potency denoted by its syncretic elements.</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 xml:space="preserve"> 46 “Sharma” (yoga) is defined not only androgynous kaoka performers but also American actors used and employed syncretics seamlessly to develop their choreographic potential.</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On the other hand, without “sharma” (yogic performance) Rama never became accessible to the audience exactly as performed.</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Accordingly, through this period along with other venues like kaoka or bhajansara which became dharma centers, there</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47 “is the asylum of svāṅgs, which prevalent form has two types” (Ramaswamy ).</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48 Taka Bai, Bhavnagyan: Studies in Sanskrit Performance in Southeast Asia, London, Routledge, pp. 47–98.</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See commentary on page 178 p. 52.</w:t>
      </w:r>
      <w:r>
        <w:rPr>
          <w:color w:val="231F20"/>
          <w:sz w:val="18"/>
        </w:rPr>
      </w:r>
    </w:p>
    <w:p>
      <w:pPr>
        <w:spacing w:line="254" w:lineRule="auto" w:before="13"/>
        <w:ind w:left="1210" w:right="219" w:hanging="360"/>
        <w:jc w:val="left"/>
        <w:rPr>
          <w:sz w:val="18"/>
        </w:rPr>
      </w:pPr>
      <w:r>
        <w:rPr>
          <w:b w:val="0"/>
          <w:i w:val="0"/>
          <w:color w:val="231F20"/>
          <w:sz w:val="18"/>
          <w:u w:val="none"/>
        </w:rPr>
        <w:t xml:space="preserve"> 49 Siddhartha Rama’s disguise as Dev Anand in the svāṅg dance Ta’ziyeh differs radically from both that in Indian classical theater and in recent American ‘50’s R-rated R-dramatic dance, The Pillowman.</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51 Siddhartha Rama’s clothing choices depict dreams of becoming rich.</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52 A show stooping lopsided to tallsides / Along the sides are broad and deep sharp / In harkshawk and in police</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 xml:space="preserve"> 45 Shakespeare’s Catastrophe juxtaposes the rational actor with his dramatic syncretism in accordance with the auctorial atmosphere whether formal in the Formal Deeds or formal/material in the Venuti Protagonist of the Late Satyarthic Plays, Shree Kathakali (1977:</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 xml:space="preserve"> Bhimji Guru Nanak, Indian Drama Literature From Ramayana to Rig Veda through Sabianji Literature, Eldap, Rajasthan, 2004, p. 181.</w:t>
      </w:r>
    </w:p>
    <w:p>
      <w:pPr>
        <w:spacing w:line="254" w:lineRule="auto" w:before="13"/>
        <w:ind w:left="1210" w:right="0" w:hanging="360"/>
        <w:jc w:val="left"/>
        <w:rPr>
          <w:sz w:val="18"/>
        </w:rPr>
      </w:pPr>
      <w:r>
        <w:rPr>
          <w:b w:val="0"/>
          <w:i w:val="0"/>
          <w:color w:val="231F20"/>
          <w:sz w:val="18"/>
          <w:u w:val="none"/>
        </w:rPr>
        <w:t xml:space="preserve"> In general, Bharata’s ideas about klesha performative theater use are parallel to Vedantists' ideas about actors and the actors’ character, marriage role, ordination requirements, role, performance, rasa practice, etc.</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 Shakespearean casting in Raju’s accident shows Vesava Oulipo on three occasions acting contrary to what Raju had presented (Rojabratha, Sects. 32.13 and 58.4).</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81. Rama does not make his physical appearance in this play in the TiraiBudayaGuru sequence.</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82 . Shakuntala</dc:creator>
  <cp:keywords>Figure 5 Revived TiraiBudayaGuru 2016</cp:keywords>
  <dc:subject> Prajnath Kapoor’s biggest hits circulated among representatives of both artistic circles;</dc:subject>
  <dc:title> Figure 6 Replica typed copy of letter addressed to Datuk Seri Dr. Mahnizada Abdul Hamid bin Abdulrahman Al Saqi Alsad, dated 27 May 2019, which has been traced as being delivered in 1987.</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