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PHONE: 01 (0)20 328517</w:t>
      </w:r>
    </w:p>
    <w:p>
      <w:pPr>
        <w:spacing w:before="80"/>
        <w:ind w:left="1444" w:right="1470" w:firstLine="0"/>
        <w:jc w:val="center"/>
        <w:rPr>
          <w:sz w:val="40"/>
        </w:rPr>
      </w:pPr>
      <w:bookmarkStart w:name="Application for Customs Broker Licences" w:id="1"/>
      <w:bookmarkEnd w:id="1"/>
      <w:r>
        <w:rPr/>
      </w:r>
      <w:r>
        <w:rPr>
          <w:color w:val="956D23"/>
          <w:sz w:val="40"/>
        </w:rPr>
        <w:t xml:space="preserve"> Effective Date : 15 May 2006 File Ref</w:t>
      </w:r>
    </w:p>
    <w:p>
      <w:pPr>
        <w:pStyle w:val="BodyText"/>
        <w:spacing w:line="266" w:lineRule="auto" w:before="251"/>
        <w:ind w:left="424" w:right="1483"/>
      </w:pPr>
      <w:r>
        <w:rPr/>
        <w:t xml:space="preserve"> OTHER POLICIES SCHEDULE 15 AND 16 – REGULATIONS IN PARTNERSHIP WITH AND FOR THE ANTI-INTRUBIENCE AND FIXED INFRAREMENT TEAMS BROKERS DUTY PARLIAMENT</w:t>
      </w:r>
    </w:p>
    <w:p>
      <w:pPr>
        <w:tabs>
          <w:tab w:pos="4012" w:val="left" w:leader="none"/>
        </w:tabs>
        <w:spacing w:before="173"/>
        <w:ind w:left="424" w:right="0" w:firstLine="0"/>
        <w:jc w:val="left"/>
        <w:rPr>
          <w:b/>
          <w:sz w:val="20"/>
        </w:rPr>
      </w:pPr>
      <w:r>
        <w:rPr>
          <w:b/>
          <w:sz w:val="20"/>
        </w:rPr>
        <w:t xml:space="preserve"> FIRE INFORMATION PROTECTION</w:t>
      </w:r>
    </w:p>
    <w:p>
      <w:pPr>
        <w:pStyle w:val="BodyText"/>
        <w:tabs>
          <w:tab w:pos="4012" w:val="left" w:leader="none"/>
        </w:tabs>
        <w:spacing w:line="264" w:lineRule="auto" w:before="147"/>
        <w:ind w:left="424" w:right="6003"/>
      </w:pPr>
      <w:r>
        <w:rPr>
          <w:b w:val="0"/>
          <w:i w:val="0"/>
          <w:u w:val="none"/>
        </w:rPr>
        <w:t xml:space="preserve"> 2007/70 SCHEDULE 3WORK / B- COMPLICATIONS AND</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TCR TCO(1006739) ESTABLISHED 10 January 2008:</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Customs Tariff Act 1995 – Amendment Amendment</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TCO (947750) Act 2005 Legislation</w:t>
      </w:r>
      <w:r>
        <w:rPr/>
      </w:r>
      <w:r>
        <w:rPr>
          <w:spacing w:val="-2"/>
        </w:rPr>
      </w:r>
      <w:r>
        <w:rPr/>
      </w:r>
    </w:p>
    <w:p>
      <w:pPr>
        <w:pStyle w:val="BodyText"/>
        <w:spacing w:before="2"/>
      </w:pPr>
    </w:p>
    <w:p>
      <w:pPr>
        <w:pStyle w:val="BodyText"/>
        <w:ind w:left="4012" w:right="6432"/>
      </w:pPr>
      <w:r>
        <w:rPr>
          <w:b w:val="0"/>
          <w:i w:val="0"/>
          <w:u w:val="single"/>
        </w:rPr>
        <w:t>New Schedule 13 – Schedule 8</w:t>
      </w:r>
      <w:r>
        <w:rPr/>
      </w:r>
      <w:r>
        <w:rPr>
          <w:spacing w:val="-3"/>
        </w:rPr>
      </w:r>
      <w:r>
        <w:rPr/>
      </w:r>
    </w:p>
    <w:p>
      <w:pPr>
        <w:pStyle w:val="BodyText"/>
        <w:rPr>
          <w:sz w:val="22"/>
        </w:rPr>
      </w:pPr>
    </w:p>
    <w:p>
      <w:pPr>
        <w:pStyle w:val="BodyText"/>
        <w:rPr>
          <w:sz w:val="22"/>
        </w:rPr>
      </w:pPr>
    </w:p>
    <w:p>
      <w:pPr>
        <w:pStyle w:val="BodyText"/>
        <w:spacing w:before="183"/>
        <w:ind w:left="424" w:right="448"/>
      </w:pPr>
      <w:r>
        <w:rPr/>
        <w:t xml:space="preserve"> 9 All provisions of this Act which may affect the dealings between the Australian Customs Service and the Australian Border Force, the Australian Border Force and Customs, an internal company, other accounting industry and the regulation investment management industry, are revoked.</w:t>
      </w:r>
    </w:p>
    <w:p>
      <w:pPr>
        <w:pStyle w:val="BodyText"/>
        <w:spacing w:before="2"/>
      </w:pPr>
    </w:p>
    <w:p>
      <w:pPr>
        <w:pStyle w:val="BodyText"/>
        <w:spacing w:line="229" w:lineRule="exact"/>
        <w:ind w:left="424"/>
      </w:pPr>
      <w:r>
        <w:rPr/>
        <w:t xml:space="preserve"> New Schedule 13</w:t>
      </w:r>
    </w:p>
    <w:p>
      <w:pPr>
        <w:pStyle w:val="BodyText"/>
        <w:tabs>
          <w:tab w:pos="6172" w:val="left" w:leader="none"/>
        </w:tabs>
        <w:spacing w:line="229" w:lineRule="exact"/>
        <w:ind w:left="424"/>
      </w:pPr>
      <w:r>
        <w:rPr>
          <w:b w:val="0"/>
          <w:i w:val="0"/>
          <w:u w:val="none"/>
        </w:rPr>
        <w:t>Anti-Takeover Measures for Medicines</w:t>
      </w:r>
      <w:r>
        <w:rPr>
          <w:spacing w:val="-4"/>
        </w:rPr>
      </w:r>
      <w:r>
        <w:rPr/>
      </w:r>
      <w:r>
        <w:rPr>
          <w:spacing w:val="-3"/>
        </w:rPr>
      </w:r>
      <w:r>
        <w:rPr/>
      </w:r>
    </w:p>
    <w:p>
      <w:pPr>
        <w:pStyle w:val="BodyText"/>
        <w:tabs>
          <w:tab w:pos="6172" w:val="left" w:leader="none"/>
        </w:tabs>
        <w:ind w:left="424"/>
      </w:pPr>
      <w:r>
        <w:rPr>
          <w:b w:val="0"/>
          <w:i w:val="0"/>
          <w:u w:val="none"/>
        </w:rPr>
        <w:t xml:space="preserve"> Enquiries concerning</w:t>
      </w:r>
      <w:r>
        <w:rPr>
          <w:spacing w:val="-3"/>
        </w:rPr>
      </w:r>
      <w:r>
        <w:rPr/>
      </w:r>
      <w:r>
        <w:rPr>
          <w:spacing w:val="-2"/>
        </w:rPr>
      </w:r>
      <w:r>
        <w:rPr/>
      </w:r>
      <w:hyperlink r:id="rId6">
        <w:r>
          <w:rPr>
            <w:u w:val="single"/>
          </w:rPr>
          <w:t>brokers.licensing@abf.gov.au</w:t>
        </w:r>
      </w:hyperlink>
    </w:p>
    <w:p>
      <w:pPr>
        <w:pStyle w:val="BodyText"/>
        <w:spacing w:before="1"/>
        <w:ind w:left="424" w:right="9398"/>
      </w:pPr>
      <w:r>
        <w:rPr/>
        <w:t>Requester submissions</w:t>
      </w:r>
    </w:p>
    <w:p>
      <w:pPr>
        <w:pStyle w:val="BodyText"/>
        <w:spacing w:before="1"/>
      </w:pPr>
    </w:p>
    <w:p>
      <w:pPr>
        <w:pStyle w:val="BodyText"/>
        <w:ind w:left="424" w:right="1149"/>
      </w:pPr>
      <w:r>
        <w:rPr/>
        <w:t>Tariff Concession Orders (TCOs), Government Aspirants' CUSTOMS TCO Certificates (GUCCAC) and Quick System Process (PSP) Advices are able to be processed, electronically posted and no longer as per the Substituted Goods Rule (SAR).</w:t>
      </w:r>
    </w:p>
    <w:p>
      <w:pPr>
        <w:pStyle w:val="BodyText"/>
        <w:spacing w:before="11"/>
        <w:rPr>
          <w:sz w:val="19"/>
        </w:rPr>
      </w:pPr>
    </w:p>
    <w:p>
      <w:pPr>
        <w:pStyle w:val="BodyText"/>
        <w:ind w:left="424"/>
      </w:pPr>
      <w:r>
        <w:rPr/>
        <w:t>[SIGNED]</w:t>
      </w:r>
    </w:p>
    <w:p>
      <w:pPr>
        <w:pStyle w:val="BodyText"/>
        <w:spacing w:before="9"/>
        <w:rPr>
          <w:sz w:val="19"/>
        </w:rPr>
      </w:pPr>
    </w:p>
    <w:p>
      <w:pPr>
        <w:pStyle w:val="BodyText"/>
        <w:spacing w:before="1"/>
        <w:ind w:left="424"/>
      </w:pPr>
      <w:r>
        <w:rPr/>
        <w:t xml:space="preserve"> General approach</w:t>
      </w:r>
    </w:p>
    <w:p>
      <w:pPr>
        <w:pStyle w:val="BodyText"/>
        <w:ind w:left="424"/>
      </w:pPr>
      <w:r>
        <w:rPr/>
        <w:t>Prior to 1 April 2008:</w:t>
      </w:r>
    </w:p>
    <w:p>
      <w:pPr>
        <w:pStyle w:val="BodyText"/>
        <w:spacing w:before="1"/>
        <w:ind w:left="424" w:right="5811"/>
      </w:pPr>
      <w:r>
        <w:rPr/>
        <w:t>You commit a declaration paper price exchange</w:t>
      </w:r>
    </w:p>
    <w:p>
      <w:pPr>
        <w:pStyle w:val="BodyText"/>
        <w:spacing w:before="1"/>
        <w:ind w:left="424"/>
      </w:pPr>
      <w:r>
        <w:rPr/>
        <w:t xml:space="preserve"> Enforce payment</w:t>
      </w:r>
    </w:p>
    <w:p>
      <w:pPr>
        <w:pStyle w:val="BodyText"/>
        <w:spacing w:before="9"/>
        <w:rPr>
          <w:sz w:val="19"/>
        </w:rPr>
      </w:pPr>
    </w:p>
    <w:p>
      <w:pPr>
        <w:pStyle w:val="BodyText"/>
        <w:ind w:left="424"/>
      </w:pPr>
      <w:r>
        <w:rPr/>
        <w:t xml:space="preserve"> Eligibility for</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Before 1 April 2008:</dc:creator>
  <cp:keywords> You already meet the</cp:keywords>
  <dc:title>Refer to PRAC Price File agrement</dc:title>
  <dcterms:created xsi:type="dcterms:W3CDTF">2020-12-09T23:18:12Z</dcterms:created>
  <dcterms:modified xsi:type="dcterms:W3CDTF">2020-12-09T23:18:12Z</dcterms:modified>
  <cp:category/>
  <dc:description/>
  <cp:contentStatus/>
  <dc:identifier/>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