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EXPLORER RETAILER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 xml:space="preserve"> # Unless otherwise indicated NZ, PG, FI, DC, LDC and SG rates are Free.  Operative 3/2/20 Unless otherwise indicated general rate applies for CA.</w:t>
      </w:r>
    </w:p>
    <w:p>
      <w:pPr>
        <w:pStyle w:val="BodyText"/>
        <w:spacing w:before="159"/>
        <w:ind w:right="81"/>
      </w:pPr>
      <w:r>
        <w:rPr/>
        <w:t>Unless indicated in Schedules 4A, 5, 6, 7, 8, 9, 10, 11 or 12 rates for Singaporean, US, Thai, Chilean, AANZ, Trans-Pacific Partnership, Malaysian, Korean, Japanese and Chinese originating goods, respectively, are Free. DCS denotes the rate for countries and places listed in Part 4 of Schedule 1 to this Act.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 xml:space="preserve"> Unless indicated in Schedules 4A, 5, 6, 7, 8, 9, 10, 11 or 12 rates for Singaporean, US, Thai, Chilean, AANZ, Trans-Pacific Partnership, Malaysian, Korean, Japanese and Chinese originating goods, respectively, are Free.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Unless indicated in Schedules 4A, 5, 6, 7, 8, 9, 10, 11 or 12 rates for US, Thai, Chilean, AANZ, Trans-Pacific Partnership, Malaysian, Korean, Japanese and Chinese originating goods, respectively, are Free. DCS denotes the rate for those countries and places listed in Part 4 of Schedule 1 to this Act.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 xml:space="preserve"> Unless indicated in Schedules 4A, 5, 6, 7, 8, 9, 10, 11 or 12 rates for Thai, Chilean, AANZ, Trans-Pacific Partnership, Malaysian, Korean, Japanese and Chinese originating goods, respectively, are Free.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DCS denotes the rate for DCS countries and places listed in Part 4 of Schedule 1 to this Act.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 xml:space="preserve"> DCS denotes the rate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 xml:space="preserve"> DCS denotes the rate for HK ,</w:t>
      </w:r>
    </w:p>
    <w:p>
      <w:pPr>
        <w:pStyle w:val="BodyText"/>
        <w:spacing w:before="2"/>
      </w:pPr>
      <w:r>
        <w:rPr/>
        <w:t>DCS denotes the rate for TW.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