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INSTA CLONE (numbering system)</w:t>
      </w:r>
    </w:p>
    <w:p>
      <w:pPr>
        <w:spacing w:line="312" w:lineRule="auto" w:before="390"/>
        <w:ind w:left="100" w:right="0" w:firstLine="0"/>
        <w:jc w:val="left"/>
        <w:rPr>
          <w:b/>
          <w:sz w:val="36"/>
        </w:rPr>
      </w:pPr>
      <w:r>
        <w:rPr>
          <w:b/>
          <w:color w:val="202020"/>
          <w:sz w:val="36"/>
        </w:rPr>
        <w:t xml:space="preserve"> Royal Malaysian Cosmetics Pty Limited PRJ Renamo (ASIC: Regency Class 10). Pty Limited Helensvale, Sydney, 6160</w:t>
      </w:r>
    </w:p>
    <w:p>
      <w:pPr>
        <w:pStyle w:val="BodyText"/>
        <w:spacing w:before="159"/>
        <w:ind w:right="8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ind w:left="0"/>
        <w:rPr>
          <w:sz w:val="17"/>
        </w:rPr>
      </w:pPr>
    </w:p>
    <w:p>
      <w:pPr>
        <w:pStyle w:val="BodyText"/>
        <w:ind w:right="711"/>
      </w:pPr>
      <w:r>
        <w:rPr/>
        <w:t>Applicants will not be provided with a copy of the communication and details of its author unless Customs and Border Protection is authorised by the author to fully disclose the representation.</w:t>
      </w:r>
    </w:p>
    <w:p>
      <w:pPr>
        <w:pStyle w:val="BodyText"/>
        <w:ind w:left="0"/>
        <w:rPr>
          <w:sz w:val="18"/>
        </w:rPr>
      </w:pPr>
    </w:p>
    <w:p>
      <w:pPr>
        <w:pStyle w:val="BodyText"/>
        <w:ind w:right="198"/>
      </w:pPr>
      <w:r>
        <w:rPr/>
        <w:t>Pursuant to section 135 of the Customs Act 1901,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ind w:left="0"/>
        <w:rPr>
          <w:sz w:val="17"/>
        </w:rPr>
      </w:pPr>
    </w:p>
    <w:p>
      <w:pPr>
        <w:pStyle w:val="BodyText"/>
        <w:ind w:right="501"/>
      </w:pPr>
      <w:r>
        <w:rPr/>
        <w:t>Applicants will not be provided with a copy of the communication and details of its author unless Customs and Border Protection is authorised by the author to fully disclose the representation.</w:t>
      </w:r>
    </w:p>
    <w:p>
      <w:pPr>
        <w:pStyle w:val="BodyText"/>
        <w:ind w:left="0"/>
        <w:rPr>
          <w:sz w:val="18"/>
        </w:rPr>
      </w:pPr>
    </w:p>
    <w:p>
      <w:pPr>
        <w:pStyle w:val="BodyText"/>
        <w:ind w:right="431"/>
      </w:pPr>
      <w:r>
        <w:rPr/>
        <w:t>Any person wishing to make written representation in respect of this application should address the correspondence by Monday 21 May 2013 to:</w:t>
      </w:r>
    </w:p>
    <w:p>
      <w:pPr>
        <w:pStyle w:val="BodyText"/>
        <w:ind w:left="0"/>
        <w:rPr>
          <w:sz w:val="18"/>
        </w:rPr>
      </w:pPr>
    </w:p>
    <w:p>
      <w:pPr>
        <w:pStyle w:val="BodyText"/>
      </w:pPr>
      <w:r>
        <w:rPr/>
        <w:t>Broker Licensing</w:t>
      </w:r>
    </w:p>
    <w:p>
      <w:pPr>
        <w:pStyle w:val="BodyText"/>
        <w:spacing w:before="1"/>
        <w:ind w:left="0"/>
        <w:rPr>
          <w:sz w:val="18"/>
        </w:rPr>
      </w:pPr>
    </w:p>
    <w:p>
      <w:pPr>
        <w:pStyle w:val="BodyText"/>
        <w:spacing w:line="446" w:lineRule="auto"/>
        <w:ind w:right="7681"/>
      </w:pPr>
      <w:r>
        <w:rPr/>
        <w:t xml:space="preserve"> Australian Customs Service 5</w:t>
      </w:r>
    </w:p>
    <w:p>
      <w:pPr>
        <w:pStyle w:val="BodyText"/>
        <w:spacing w:before="2"/>
      </w:pPr>
      <w:r>
        <w:rPr/>
        <w:t>CANBERRA ACT 2601</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