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 xml:space="preserve"> for details see : www.tradeaccess.gov.au/dgstemos/DST/default.htm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 xml:space="preserve"> Refunds for international passenger</w:t>
      </w:r>
    </w:p>
    <w:p>
      <w:pPr>
        <w:pStyle w:val="BodyText"/>
        <w:spacing w:line="266" w:lineRule="auto" w:before="251"/>
        <w:ind w:left="424" w:right="1483"/>
      </w:pPr>
      <w:r>
        <w:rPr/>
        <w:t xml:space="preserve"> What should airline passengers and crew carrying out audits to verify the cargo that ends up at their local ABC for commercial purposes (the ABC) have to do if they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an error is found?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Administrative border adjustments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 xml:space="preserve"> State and Territory Notices of Objection will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 xml:space="preserve"> Contingency arrangements for cases where airfares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 xml:space="preserve"> During any outage and contingency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*NOTICES OF OBJECTION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 xml:space="preserve"> To use the permission to depot necessary goods under an ABC, there are specific reasons the owner of the warehouse will be required as a presenter.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 xml:space="preserve"> Academic integrity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Fiduciary liability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 xml:space="preserve"> Historistical information</w:t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 xml:space="preserve"> Unit positive ( rotation of following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When processing a Tier 1 clearance after 2000, any changes to the dummy locations and/or the depot address of the panel will be treated by Customs and Border Protection as either of the following: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[SIGNED]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 xml:space="preserve"> agreed categories</w:t>
      </w:r>
    </w:p>
    <w:p>
      <w:pPr>
        <w:pStyle w:val="BodyText"/>
        <w:ind w:left="424"/>
      </w:pPr>
      <w:r>
        <w:rPr/>
        <w:t xml:space="preserve"> parts of Incubsile ( honours</w:t>
      </w:r>
    </w:p>
    <w:p>
      <w:pPr>
        <w:pStyle w:val="BodyText"/>
        <w:spacing w:before="1"/>
        <w:ind w:left="424" w:right="5811"/>
      </w:pPr>
      <w:r>
        <w:rPr/>
        <w:t xml:space="preserve"> trusted Valuation (must establish &gt;or &gt; obtain Corporate Valuation Authority (CVA) or Currency Reparations Agreement (CRA) or third party CVA).</w:t>
      </w:r>
    </w:p>
    <w:p>
      <w:pPr>
        <w:pStyle w:val="BodyText"/>
        <w:spacing w:before="1"/>
        <w:ind w:left="424"/>
      </w:pPr>
      <w:r>
        <w:rPr/>
        <w:t xml:space="preserve"> Organised with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Owner make-up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The certificate can be</dc:creator>
  <cp:keywords> Detailed rules of origin</cp:keywords>
  <dc:title>Whether or Not Information is Required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