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 Linux , Mac and Smartphone Architec-</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Data Set</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Robust and Anonymous Data</w:t>
      </w:r>
      <w:r>
        <w:rPr>
          <w:spacing w:val="-33"/>
        </w:rPr>
      </w:r>
      <w:r>
        <w:rPr/>
      </w:r>
      <w:r>
        <w:rPr>
          <w:spacing w:val="-11"/>
        </w:rPr>
      </w:r>
      <w:r>
        <w:rPr/>
      </w:r>
    </w:p>
    <w:p>
      <w:pPr>
        <w:pStyle w:val="BodyText"/>
        <w:spacing w:before="8"/>
        <w:rPr>
          <w:sz w:val="17"/>
        </w:rPr>
      </w:pPr>
    </w:p>
    <w:p>
      <w:pPr>
        <w:pStyle w:val="Title"/>
      </w:pPr>
      <w:r>
        <w:rPr/>
        <w:t>Data collection Unstructured Semantic Data</w:t>
      </w:r>
    </w:p>
    <w:p>
      <w:pPr>
        <w:pStyle w:val="Heading1"/>
        <w:spacing w:before="290"/>
        <w:ind w:left="585" w:right="411"/>
        <w:jc w:val="center"/>
      </w:pPr>
      <w:r>
        <w:rPr>
          <w:b w:val="0"/>
          <w:i w:val="0"/>
          <w:u w:val="none"/>
        </w:rPr>
        <w:t>Experiment Design and Data Collection Methodologies</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Semantic Relational Databases</w:t>
      </w:r>
      <w:r>
        <w:rPr>
          <w:vertAlign w:val="baseline"/>
        </w:rPr>
      </w:r>
    </w:p>
    <w:p>
      <w:pPr>
        <w:spacing w:line="265" w:lineRule="exact" w:before="0"/>
        <w:ind w:left="586" w:right="407" w:firstLine="0"/>
        <w:jc w:val="center"/>
        <w:rPr>
          <w:sz w:val="23"/>
        </w:rPr>
      </w:pPr>
      <w:r>
        <w:rPr>
          <w:b w:val="0"/>
          <w:i w:val="0"/>
          <w:sz w:val="23"/>
          <w:u w:val="none"/>
          <w:vertAlign w:val="superscript"/>
        </w:rPr>
        <w:t>Analyzing the SDN-INVAs Detailed Description</w:t>
      </w:r>
      <w:r>
        <w:rPr>
          <w:sz w:val="23"/>
          <w:vertAlign w:val="baseline"/>
        </w:rPr>
      </w:r>
    </w:p>
    <w:p>
      <w:pPr>
        <w:pStyle w:val="Heading2"/>
        <w:spacing w:line="230" w:lineRule="auto" w:before="2"/>
        <w:ind w:left="1904" w:right="1723"/>
      </w:pPr>
      <w:r>
        <w:rPr>
          <w:b w:val="0"/>
          <w:i w:val="0"/>
          <w:w w:val="95"/>
          <w:u w:val="none"/>
          <w:vertAlign w:val="superscript"/>
        </w:rPr>
        <w:t xml:space="preserve">SDN- INVAs vs. Real-Time: The SDN-Interception Matching Model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 xml:space="preserve"> Data- Driven Design for SDN - INVAs and</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SDN- INVAs are proposed to explore the crowd input for novel re- sources of information related to adverse events caused by industrial robots. In the simulation experiment, a wide spectrum of sensing approaches are studied to analyze the multiple aspects indirectly related to human life, such as gestures, gaze, and motion. Various experiments have been con- ducted to evaluate how well the SDN-INVAs are able to perform accurate and accurate prediction by using different types of sensors connected to the network. Especially, RGB sensors and rectified polarimeter are considered for real-time evaluation. The exact mode of operation in the proposed SDN-INVAs and deep learning have been investigated to estimate gaze direction and body position. The crossover of these three detectors is studied; otherwise, only a gaze direction is applied. The preferred bearers approach that protects human individuals is also investigated for accurate prediction, whereas the location of the triggered sensor is minimized. From these six efforts, better control of human estimated values has been calculated. The available variables ‘visiting’s’s</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behavior over time in laying claim to protective status, as well as the time of occupancy are used to</w:t>
      </w:r>
      <w:r>
        <w:rPr/>
      </w:r>
    </w:p>
    <w:p>
      <w:pPr>
        <w:pStyle w:val="BodyText"/>
        <w:rPr>
          <w:sz w:val="22"/>
        </w:rPr>
      </w:pPr>
    </w:p>
    <w:p>
      <w:pPr>
        <w:pStyle w:val="Heading1"/>
        <w:spacing w:before="184"/>
      </w:pPr>
      <w:r>
        <w:rPr/>
        <w:t>Background</w:t>
      </w:r>
    </w:p>
    <w:p>
      <w:pPr>
        <w:pStyle w:val="BodyText"/>
        <w:spacing w:before="1"/>
        <w:ind w:left="299" w:right="116"/>
        <w:jc w:val="both"/>
      </w:pPr>
      <w:r>
        <w:rPr>
          <w:b w:val="0"/>
          <w:i w:val="0"/>
          <w:u w:val="none"/>
        </w:rPr>
        <w:t xml:space="preserve"> As a part of humanity’s modernization, areas like utility services. Such improvements often benefit from quick and efficient activation of critical infrastructure. Along with the development of modern medical facilities, enough quantity of power and computing power is needed to process complex tasks. Various online services can be attracted to human and industrial areas by reliable networks. Industrial elec- trography has also increased the economy because of the- according to the World Trade Organization (WTO), the industrial economy may increase by 1.857 trillion dollars (USD [ ] ) in 2020. This often need to answer complex tasks such as monitoring, functional services, and vehicular communications are mechanistic triggers. Sky-high service rates give a lot of utility services potential, which often require frequent pick up, delivery and telegraphing. In addition, fast processing of desired data is key and considered as an effective signal for industrial applications []. Therefore, in response to this need, 3GPP official has proposed a 3GPP funded plan [], providing communicational functions by lightweight nodes which are able to acquire network data in real time []. The challenge in this kind of developments is several key factors have to be detected. The scalability of SDN-INVAs during usage by industrial robots results from the onset of a large amount of data that is transmitted over the network. Although it is effective in areas like sensor fusion surveillance [], when the number of sensors increase difﬁcult for proper processing, this may contribute to increase time delay for experimental validation.</w:t>
      </w:r>
      <w:r>
        <w:rPr>
          <w:spacing w:val="-4"/>
        </w:rPr>
      </w:r>
      <w:r>
        <w:rPr/>
      </w:r>
    </w:p>
    <w:p>
      <w:pPr>
        <w:pStyle w:val="BodyText"/>
        <w:spacing w:before="10"/>
        <w:rPr>
          <w:sz w:val="17"/>
        </w:rPr>
      </w:pPr>
    </w:p>
    <w:p>
      <w:pPr>
        <w:pStyle w:val="Heading1"/>
      </w:pPr>
      <w:r>
        <w:rPr/>
        <w:t>Methods</w:t>
      </w:r>
    </w:p>
    <w:p>
      <w:pPr>
        <w:pStyle w:val="BodyText"/>
        <w:spacing w:before="3"/>
        <w:ind w:left="299" w:right="120"/>
        <w:jc w:val="both"/>
      </w:pPr>
      <w:r>
        <w:rPr>
          <w:b w:val="0"/>
          <w:i w:val="0"/>
          <w:u w:val="none"/>
        </w:rPr>
        <w:t xml:space="preserve"> Therefore, the induced adverse consequences of interference between microwave and 5G UEs can be related to both the influence of noise pollution and interference from more mobile appli- cations. Unfortunately, network design and storage equipment satisfy the ordinary demands of widespread modern wireless technologies. Consequently, the use of RoSA under silicon infrastructure without well-structured formal SFCs as well as straightforward algorithm design is a key cause of adverse network impacts [,]. Their robustness does not imply a low backward-looking error, as it is not feasible to avoid introduce delays and ambiguities in both topology and functionality in the implementation.</w:t>
      </w:r>
      <w:r>
        <w:rPr>
          <w:spacing w:val="-21"/>
        </w:rPr>
      </w:r>
      <w:r>
        <w:rPr/>
      </w:r>
    </w:p>
    <w:p>
      <w:pPr>
        <w:pStyle w:val="BodyText"/>
        <w:spacing w:before="10"/>
        <w:rPr>
          <w:sz w:val="17"/>
        </w:rPr>
      </w:pPr>
    </w:p>
    <w:p>
      <w:pPr>
        <w:pStyle w:val="Heading1"/>
      </w:pPr>
      <w:r>
        <w:rPr/>
        <w:t xml:space="preserve"> 7| Appendix A| The research</w:t>
      </w:r>
    </w:p>
    <w:p>
      <w:pPr>
        <w:pStyle w:val="BodyText"/>
        <w:spacing w:before="3"/>
        <w:ind w:left="299" w:right="114"/>
        <w:jc w:val="both"/>
      </w:pPr>
      <w:r>
        <w:rPr>
          <w:b w:val="0"/>
          <w:i w:val="0"/>
          <w:u w:val="none"/>
        </w:rPr>
        <w:t>Fig. 4. SDN in the context of SDN-analog/ANOVA for SDN-enabled traffic embedded systems, comparison of SDN and LBS for human activity recognition in indoor environments; Adapted from</w:t>
      </w:r>
      <w:r>
        <w:rPr>
          <w:spacing w:val="-12"/>
        </w:rPr>
      </w:r>
      <w:r>
        <w:rPr/>
      </w:r>
    </w:p>
    <w:p>
      <w:pPr>
        <w:pStyle w:val="BodyText"/>
        <w:spacing w:before="1"/>
      </w:pPr>
    </w:p>
    <w:p>
      <w:pPr>
        <w:pStyle w:val="Heading4"/>
      </w:pPr>
      <w:r>
        <w:rPr/>
        <w:t xml:space="preserve"> A. PUBLISHED</w:t>
      </w:r>
    </w:p>
    <w:p>
      <w:pPr>
        <w:pStyle w:val="BodyText"/>
        <w:spacing w:line="235" w:lineRule="auto" w:before="3"/>
        <w:ind w:left="299" w:right="115"/>
        <w:jc w:val="both"/>
        <w:rPr>
          <w:sz w:val="19"/>
        </w:rPr>
      </w:pPr>
      <w:r>
        <w:rPr>
          <w:b w:val="0"/>
          <w:i w:val="0"/>
          <w:u w:val="none"/>
        </w:rPr>
        <w:t xml:space="preserve"> problem of steady state delay due to signal drift in SDN-analog review, our research paper was designed to address this technical gap. Due to the scarce resources and infrastructure development efforts in this area [], in order to greatly improve performance of pedestrian and industrial applications within controlled environments, improving the efficiency of SDN-analog traffic through sophisticated algorithms will be crucial [,] unless direct implementation of SDN-ANOVA techniques is safe and reliable [].</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 xml:space="preserve"> SDN - ANOVA for industrial and human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We designed the network with four ADCs (4400 mW, 24 bit), one of EN (4400 mW, 8 bits), one of ADCS (4400 mW, 16 bit), and one of RSF (999 mW,</w:t>
      </w:r>
      <w:r>
        <w:rPr>
          <w:sz w:val="18"/>
        </w:rPr>
      </w:r>
      <w:r>
        <w:rPr>
          <w:sz w:val="19"/>
        </w:rPr>
      </w:r>
      <w:r>
        <w:rPr>
          <w:sz w:val="18"/>
        </w:rPr>
      </w:r>
    </w:p>
    <w:p>
      <w:pPr>
        <w:spacing w:line="228" w:lineRule="auto" w:before="2"/>
        <w:ind w:left="299" w:right="115" w:firstLine="0"/>
        <w:jc w:val="both"/>
        <w:rPr>
          <w:sz w:val="18"/>
        </w:rPr>
      </w:pPr>
      <w:r>
        <w:rPr>
          <w:b w:val="0"/>
          <w:i w:val="0"/>
          <w:sz w:val="18"/>
          <w:u w:val="none"/>
        </w:rPr>
        <w:t>0.5 bits). To create hierarchical metered networks with most of the SCs simultaneously, the risk of signal/noise co-variation remains high. Therefore, the data are collected through multiple sensors, ranging from two (battery meter and user respon- sibility network), four (pedestrian monitoring, environmental quality pollution, traffic monitoring), and one (vehicle speed detection and environmental risk monitoring) in the industry-standard 250 mW/13 MHz sensors, namely 350 mm</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UV LEDs and 1000 mW complex sensors [,]. To obtain continuous measurement data, in this survey, we also gathered accurate measurements of large particles from all vehicles passing by many sensors in several workshops and locations, moving at very smooth speeds []. The experimental results show that the spatial dispersion of RSF remains constant, while the area also decreases with a decreasing spacing for sensors (fig. 4) and with increasing depth (fig. 5) of the sensors (Additional file : Fig. S12). This means that the testing</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 xml:space="preserve"> Fig. 5. SDN SFC isolation easiness for continuous temperature monitoring with ambient sensors (800 m in depth);</w:t>
      </w:r>
    </w:p>
    <w:p>
      <w:pPr>
        <w:pStyle w:val="BodyText"/>
        <w:spacing w:before="4"/>
        <w:rPr>
          <w:sz w:val="17"/>
        </w:rPr>
      </w:pPr>
    </w:p>
    <w:p>
      <w:pPr>
        <w:pStyle w:val="Heading4"/>
      </w:pPr>
      <w:r>
        <w:rPr/>
        <w:t xml:space="preserve"> S. Girshick and</w:t>
      </w:r>
    </w:p>
    <w:p>
      <w:pPr>
        <w:pStyle w:val="BodyText"/>
        <w:ind w:left="299" w:right="116"/>
        <w:jc w:val="both"/>
      </w:pPr>
      <w:r>
        <w:rPr/>
        <w:t>Fig. 6. PEERRAAK architecture: baseline design suggested for monitoring human activity; adapted from</w:t>
      </w:r>
    </w:p>
    <w:p>
      <w:pPr>
        <w:spacing w:line="228" w:lineRule="auto" w:before="0"/>
        <w:ind w:left="299" w:right="116" w:firstLine="0"/>
        <w:jc w:val="both"/>
        <w:rPr>
          <w:sz w:val="18"/>
        </w:rPr>
      </w:pPr>
      <w:r>
        <w:rPr>
          <w:b w:val="0"/>
          <w:i w:val="0"/>
          <w:sz w:val="18"/>
          <w:u w:val="none"/>
        </w:rPr>
        <w:t>J. Rolland et al.</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Fig. 7. SDN-anomaly curves for SDN-range protection for detecting human activity using indoor sensors; Comparison of SDN-and analog distributions in EDM simulation. Error bars represent the standard error of the mean.</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SDN Flow</w:t>
      </w:r>
    </w:p>
    <w:p>
      <w:pPr>
        <w:spacing w:line="230" w:lineRule="auto" w:before="8"/>
        <w:ind w:left="299" w:right="114" w:firstLine="0"/>
        <w:jc w:val="both"/>
        <w:rPr>
          <w:sz w:val="18"/>
        </w:rPr>
      </w:pPr>
      <w:r>
        <w:rPr>
          <w:b w:val="0"/>
          <w:i w:val="0"/>
          <w:sz w:val="18"/>
          <w:u w:val="none"/>
        </w:rPr>
        <w:t>Now, it is necessary to establish how SDN in vehicular networks both in industrial and human traffic appli- cations can be characterised (unmanned) in terms of types of signals and procedures. It is an empirical assumption in basic computer networking reasoning that if traffic density/area is dependent on either delay or throughput in the location where the network interface is located to the edge node, a common solution should be designed in such a way as it acts to improve commu- nity mobility and reduce disturbances. SDN- physical network depends on many signals for eliciting the expected performance of SDN interfaces but not only, it also depends on the fall-back protocol (e.g., client-server flows) which in turn controls the results.</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SDN Methods</w:t>
      </w:r>
    </w:p>
    <w:p>
      <w:pPr>
        <w:spacing w:line="230" w:lineRule="auto" w:before="2"/>
        <w:ind w:left="299" w:right="116" w:firstLine="0"/>
        <w:jc w:val="both"/>
        <w:rPr>
          <w:sz w:val="18"/>
        </w:rPr>
      </w:pPr>
      <w:r>
        <w:rPr>
          <w:b w:val="0"/>
          <w:i w:val="0"/>
          <w:sz w:val="18"/>
          <w:u w:val="none"/>
        </w:rPr>
        <w:t>Although there are many existing works on designing SDN models to support IOU and energy- efficient flows, it is essential to validate their performance. For that there are an- other main approaches such as the semi-automatic deployment scenarios for RF systems [,],</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 xml:space="preserve"> The evaluation of flow characteristics via flow simulation is largely performed depending on the physical environment of the leg-</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Fig. 8. SDN-line of sight architecture. Six sensors are positioned at various elevations to capture the RF signal back to the SFC. The compromise between speed and reliability is clearly marked</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 xml:space="preserve"> contrasts between the usefulness of SDN services in industrial pollution control [.i] and for weeding out hardware defects [.ii].</w:t>
      </w:r>
      <w:r>
        <w:rPr>
          <w:sz w:val="19"/>
        </w:rPr>
      </w:r>
      <w:r>
        <w:rPr>
          <w:sz w:val="18"/>
        </w:rPr>
      </w:r>
      <w:r>
        <w:rPr>
          <w:spacing w:val="39"/>
          <w:sz w:val="18"/>
        </w:rPr>
      </w:r>
      <w:r>
        <w:rPr>
          <w:sz w:val="18"/>
        </w:rPr>
      </w:r>
    </w:p>
    <w:p>
      <w:pPr>
        <w:pStyle w:val="Heading3"/>
        <w:spacing w:line="217" w:lineRule="exact"/>
        <w:rPr>
          <w:sz w:val="18"/>
        </w:rPr>
      </w:pPr>
      <w:r>
        <w:rPr>
          <w:b w:val="0"/>
          <w:i w:val="0"/>
          <w:u w:val="none"/>
        </w:rPr>
        <w:t>Flow Simulation</w:t>
      </w:r>
      <w:r>
        <w:rPr>
          <w:sz w:val="18"/>
        </w:rPr>
      </w:r>
    </w:p>
    <w:p>
      <w:pPr>
        <w:pStyle w:val="BodyText"/>
        <w:spacing w:before="10"/>
        <w:rPr>
          <w:sz w:val="17"/>
        </w:rPr>
      </w:pPr>
    </w:p>
    <w:p>
      <w:pPr>
        <w:pStyle w:val="Heading4"/>
      </w:pPr>
      <w:r>
        <w:rPr/>
        <w:t xml:space="preserve"> Simulation Pattern</w:t>
      </w:r>
    </w:p>
    <w:p>
      <w:pPr>
        <w:pStyle w:val="BodyText"/>
        <w:spacing w:line="235" w:lineRule="auto" w:before="3"/>
        <w:ind w:left="299" w:right="115"/>
        <w:jc w:val="both"/>
      </w:pPr>
      <w:r>
        <w:rPr>
          <w:b w:val="0"/>
          <w:i w:val="0"/>
          <w:u w:val="none"/>
        </w:rPr>
        <w:t>In the development phase, solutions were tested for all DSM target distribution and for the DSM that are distributed in the same LAN. Meanwhile, time-critical match-up test (MTCT) was also conducted to confirm the mathematical modelling assumptions, as well as the convergence test (CT) proposed in state-of-the-art routers [,]. The time-critical test is time- and energy- intensive operation (i.e., MTCT) resulting in latency and battery consumption []. So, samples were taken with servers located in one location, which are still, in most cases, connected to a</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Tannins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Fig. 9. A model of the SDN-network distributed in the wireless access network (WAN) with different levels of sensors. Several variables are involved such as, system conditions, sensors pressure, physical environment, number of sensors, and connectivity of the different access points between the nodes (NAPs). Sensors pressure during MTCT analysis is mainly caused by the multiple boundary conditions of wireless paths []. The ability of the sensors to measure both dynamic and static effects are also a determinant of the accuracy of the signal strength analysis []. For the experiment, a mathematical model of the QoS of the implementation of the specific IOU policies was developed based upon information from participants in-</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 xml:space="preserve"> J. Ferrier et al . , Standards , vol</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veraging the existing studies A+B</w:t>
      </w:r>
      <w:r>
        <w:rPr>
          <w:rFonts w:ascii="Arial"/>
          <w:i/>
          <w:spacing w:val="-5"/>
          <w:sz w:val="18"/>
        </w:rPr>
      </w:r>
      <w:r>
        <w:rPr>
          <w:rFonts w:ascii="Arial"/>
          <w:i/>
          <w:sz w:val="18"/>
        </w:rPr>
      </w:r>
      <w:r>
        <w:rPr>
          <w:rFonts w:ascii="Times New Roman"/>
          <w:i/>
          <w:sz w:val="22"/>
        </w:rPr>
      </w:r>
    </w:p>
    <w:p>
      <w:pPr>
        <w:pStyle w:val="Heading4"/>
        <w:spacing w:line="212" w:lineRule="exact" w:before="123"/>
      </w:pPr>
      <w:r>
        <w:rPr/>
        <w:t>Feasibility Test</w:t>
      </w:r>
    </w:p>
    <w:p>
      <w:pPr>
        <w:spacing w:line="228" w:lineRule="auto" w:before="4"/>
        <w:ind w:left="299" w:right="118" w:firstLine="0"/>
        <w:jc w:val="both"/>
        <w:rPr>
          <w:sz w:val="18"/>
        </w:rPr>
      </w:pPr>
      <w:r>
        <w:rPr>
          <w:b w:val="0"/>
          <w:i w:val="0"/>
          <w:sz w:val="18"/>
          <w:u w:val="none"/>
        </w:rPr>
        <w:t xml:space="preserve"> The first comparative structural evaluation was conducted towards competitiveness and reliability to compare between the proposed SDN architecture and a case study SDN service deployment system and observed that the proposed SDN-SDN architecture was more competitive compared to that of the general case study []. The second in-ven- sive testing consisted of a test toward simplicity and efficiency in the slice deployment to determine optimal packet filtering schemes and optimization measures in par- ticular</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Physiological</w:t>
      </w:r>
    </w:p>
    <w:p>
      <w:pPr>
        <w:spacing w:line="230" w:lineRule="auto" w:before="8"/>
        <w:ind w:left="299" w:right="119" w:firstLine="0"/>
        <w:jc w:val="both"/>
        <w:rPr>
          <w:sz w:val="18"/>
        </w:rPr>
      </w:pPr>
      <w:r>
        <w:rPr>
          <w:b w:val="0"/>
          <w:i w:val="0"/>
          <w:sz w:val="18"/>
          <w:u w:val="none"/>
        </w:rPr>
        <w:t>The duration of daily noise exposure was measured by the indoor conditions sensor. It comprises two types of heat sensors on an open box enclosed in a green-gray mesh when located in the tenants maintenance eﬀects zone (EMET). The areas of study were mainly household dominated within the USDA urban green space.</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 xml:space="preserve"> Vibration</w:t>
      </w:r>
    </w:p>
    <w:p>
      <w:pPr>
        <w:pStyle w:val="BodyText"/>
        <w:spacing w:before="3"/>
        <w:ind w:left="299" w:right="124"/>
        <w:jc w:val="both"/>
      </w:pPr>
      <w:r>
        <w:rPr/>
        <w:t xml:space="preserve"> The measurements were conducted by a fully isolated high performance RTM system (HPT 2020A UN9909) with a field-programmable gate array (FPGA), water resistance and combined circulatory sys- tem (CSCS), consisting of a quantum mechanical resistivity sensor (QMRS) and a super-critical differential flux meter (SEDM) using the native HMFflow fabric [,].</w:t>
      </w:r>
    </w:p>
    <w:p>
      <w:pPr>
        <w:pStyle w:val="BodyText"/>
        <w:spacing w:before="8"/>
        <w:rPr>
          <w:sz w:val="17"/>
        </w:rPr>
      </w:pPr>
    </w:p>
    <w:p>
      <w:pPr>
        <w:pStyle w:val="Heading1"/>
        <w:spacing w:before="1"/>
      </w:pPr>
      <w:r>
        <w:rPr/>
        <w:t>Results</w:t>
      </w:r>
    </w:p>
    <w:p>
      <w:pPr>
        <w:pStyle w:val="BodyText"/>
        <w:spacing w:before="3"/>
        <w:ind w:left="299"/>
      </w:pPr>
      <w:r>
        <w:rPr/>
        <w:t xml:space="preserve"> In this subsection, key findings in the SDN-SDN integration and optimization are summarized.</w:t>
      </w:r>
    </w:p>
    <w:p>
      <w:pPr>
        <w:pStyle w:val="BodyText"/>
        <w:spacing w:before="1"/>
        <w:ind w:left="299" w:right="2859"/>
      </w:pPr>
      <w:r>
        <w:rPr/>
        <w:t>The SDN-SDN integration integrates the overlay of SDN controllers and monitors traffic leading to the SDN scales address (Https). The SDN controller supports the complex activities like: traffic</w:t>
      </w:r>
    </w:p>
    <w:p>
      <w:pPr>
        <w:pStyle w:val="BodyText"/>
        <w:ind w:left="299" w:right="115"/>
      </w:pPr>
      <w:r>
        <w:rPr/>
        <w:t xml:space="preserve"> Fig. 10. Examples of the SDN-SDN data collection and analysis can be seen in Fig.. Their characteristics are represented in a control flow graph (CFG) with components of PIMs, tasks and processes.</w:t>
      </w:r>
    </w:p>
    <w:p>
      <w:pPr>
        <w:pStyle w:val="BodyText"/>
        <w:ind w:left="299" w:right="129"/>
      </w:pPr>
      <w:r>
        <w:rPr>
          <w:b w:val="0"/>
          <w:i w:val="0"/>
          <w:u w:val="none"/>
        </w:rPr>
        <w:t xml:space="preserve"> (Measurement machine learning modeling based on deep learning, information engineering and topological sorting to collect data using towards in- form.</w:t>
      </w:r>
      <w:r>
        <w:rPr>
          <w:spacing w:val="-2"/>
        </w:rPr>
      </w:r>
      <w:r>
        <w:rPr/>
      </w:r>
    </w:p>
    <w:p>
      <w:pPr>
        <w:pStyle w:val="BodyText"/>
        <w:spacing w:line="217" w:lineRule="exact"/>
        <w:ind w:left="299"/>
      </w:pPr>
      <w:r>
        <w:rPr/>
        <w:t xml:space="preserve"> FIGURE 10. Examples of the heat sensor (end sensor of the FPGA) of the SDN-SDN core network being connected to the common infrastructure</w:t>
      </w:r>
    </w:p>
    <w:p>
      <w:pPr>
        <w:pStyle w:val="BodyText"/>
        <w:ind w:left="299" w:right="115"/>
      </w:pPr>
      <w:r>
        <w:rPr/>
        <w:t xml:space="preserve"> The controller collects data and the workload toward the objectives with a flow of data resolution and load beyond uni- versity if needed in order to achieve the objectives (the competitor) and to resolve/ resolve the inconsistent results (the SDN-SDN con- fusion service). The planning, the measured activity type and the HRV associated with the containers assign the data and manage the tasks according based on users assumptions.</w:t>
      </w:r>
    </w:p>
    <w:p>
      <w:pPr>
        <w:pStyle w:val="BodyText"/>
        <w:spacing w:before="1"/>
        <w:ind w:left="299"/>
      </w:pPr>
      <w:r>
        <w:rPr/>
        <w:t>Fig. 10. The four workerblocks in the SDN framework were used for to conduct data collection</w:t>
      </w:r>
    </w:p>
    <w:p>
      <w:pPr>
        <w:pStyle w:val="BodyText"/>
        <w:spacing w:line="217" w:lineRule="exact"/>
        <w:ind w:left="299"/>
      </w:pPr>
      <w:r>
        <w:rPr/>
        <w:t>Fig.. The task allocation nodes because the block was to monitor the presence of the Https packet</w:t>
      </w:r>
    </w:p>
    <w:p>
      <w:pPr>
        <w:pStyle w:val="BodyText"/>
        <w:ind w:left="299" w:right="609"/>
      </w:pPr>
      <w:r>
        <w:rPr/>
        <w:t xml:space="preserve"> The controller receives the packet exchange and lists all tasks as ”Https” in order to send the task assignment to the NFs (end-devices). The previously queued task input message is entered sequentially by the Mime Type Safe and Roam protocol following a defined pattern followed by the data type specified by the task specification.</w:t>
      </w:r>
    </w:p>
    <w:p>
      <w:pPr>
        <w:pStyle w:val="BodyText"/>
        <w:ind w:left="299" w:right="115"/>
      </w:pPr>
      <w:r>
        <w:rPr/>
        <w:t>Nfxt code. If during the input data match-up, an error occurs and the SDN fails to communicate every time, the message “Not</w:t>
      </w:r>
    </w:p>
    <w:p>
      <w:pPr>
        <w:pStyle w:val="BodyText"/>
        <w:ind w:left="299"/>
      </w:pPr>
      <w:r>
        <w:rPr/>
        <w:t xml:space="preserve"> TABLE 1. Conventional NF tort, the established functions, an SDN framework and paradigm developed by [].</w:t>
      </w:r>
    </w:p>
    <w:p>
      <w:pPr>
        <w:pStyle w:val="BodyText"/>
        <w:ind w:left="299"/>
      </w:pPr>
      <w:r>
        <w:rPr/>
        <w:t>Fig.. Cluster SDN communication network with all network elements (NDN, wired and wireless) connected to the ETSI NFV platform.</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Citation:</w:t>
      </w:r>
    </w:p>
    <w:p>
      <w:pPr>
        <w:spacing w:line="187" w:lineRule="exact" w:before="0"/>
        <w:ind w:left="299" w:right="0" w:firstLine="0"/>
        <w:jc w:val="left"/>
        <w:rPr>
          <w:sz w:val="16"/>
        </w:rPr>
      </w:pPr>
      <w:r>
        <w:rPr>
          <w:sz w:val="16"/>
        </w:rPr>
        <w:t>NF Sundown, SDN Timeout, SDN Function boundaries as illustrated in Fig..</w:t>
      </w:r>
    </w:p>
    <w:p>
      <w:pPr>
        <w:spacing w:line="199" w:lineRule="exact" w:before="0"/>
        <w:ind w:left="299" w:right="0" w:firstLine="0"/>
        <w:jc w:val="left"/>
        <w:rPr>
          <w:sz w:val="16"/>
        </w:rPr>
      </w:pPr>
      <w:r>
        <w:rPr>
          <w:b w:val="0"/>
          <w:i w:val="0"/>
          <w:sz w:val="17"/>
          <w:u w:val="none"/>
        </w:rPr>
        <w:t xml:space="preserve"> Fig .. SDN for IA protection , by preventing</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as shown in Fig.. The filling is triggered by a violation of the chronic failure stability observed in individual APs (He ()).</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 xml:space="preserve"> Fig .. An end - device displays the network</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Fig.</dc:creator>
  <dc:title> Fig .. Detailed self - configuration of MEO and</dc:title>
  <dcterms:created xsi:type="dcterms:W3CDTF">2020-12-09T15:13:52Z</dcterms:created>
  <dcterms:modified xsi:type="dcterms:W3CDTF">2020-12-09T15:13:52Z</dcterms:modified>
  <cp:category/>
  <dc:description/>
  <cp:contentStatus/>
  <dc:identifier/>
  <cp:keywords/>
  <dc:language/>
  <cp:lastModifiedBy/>
  <dc:subject/>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