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2001-2006 (Corresponding author: Marat Ulker).</w:t>
      </w:r>
    </w:p>
    <w:p>
      <w:pPr>
        <w:spacing w:before="1"/>
        <w:ind w:left="407" w:right="407" w:firstLine="0"/>
        <w:jc w:val="center"/>
        <w:rPr>
          <w:sz w:val="48"/>
        </w:rPr>
      </w:pPr>
      <w:r>
        <w:rPr>
          <w:sz w:val="48"/>
        </w:rPr>
        <w:t>Acknowledgments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Thanks are due to Barbara Eichner and Tim Gehler for technical support throughout the process.</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Appendix A—Mean Squared Error (MSE) of 95% CI for one simple neural network architecture consisting of 30 elements used in the transcoding process</w:t>
      </w:r>
      <w:r>
        <w:rPr>
          <w:b/>
          <w:sz w:val="18"/>
        </w:rPr>
      </w:r>
    </w:p>
    <w:p>
      <w:pPr>
        <w:spacing w:line="230" w:lineRule="auto" w:before="5"/>
        <w:ind w:left="119" w:right="38" w:firstLine="0"/>
        <w:jc w:val="both"/>
        <w:rPr>
          <w:b/>
          <w:sz w:val="18"/>
        </w:rPr>
      </w:pPr>
      <w:r>
        <w:rPr>
          <w:b/>
          <w:i w:val="0"/>
          <w:sz w:val="18"/>
          <w:u w:val="none"/>
        </w:rPr>
        <w:t>Lowest Mean Square Error (LMSE): The original dataset SDNMesh differs significantly from the transposed version VGG-16 in 184.3-86.5% for LSB normalized to mean squared error (SME). Evidently, the SMEs of LSB63 are substantially larger than the SMEs of LSB61, while the sum of all squared errors are significantly larger than that of the final narrowband structure presented in Fig. We think this observation will help us to detect and detect the overfitting problem more readily. Different transpose layers can lead to LSB range expansions or LSB losses. For instance, the results obtained by Zhang et al. () suggest that changing the order of the layers in the network can provoke strong SDM effects rather than increasing their robustness. Similarly, Xu et al. () interpreted the reduction of linear convolution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Fig. 6. Boxplots of percentage differences in dimension between all SE techniques proposed</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0–5 2.5</w:t>
      </w:r>
      <w:r>
        <w:rPr>
          <w:spacing w:val="9"/>
          <w:sz w:val="16"/>
        </w:rPr>
      </w:r>
    </w:p>
    <w:p>
      <w:pPr>
        <w:pStyle w:val="BodyText"/>
        <w:spacing w:line="249" w:lineRule="auto" w:before="72"/>
        <w:ind w:left="119" w:right="38" w:firstLine="410"/>
        <w:jc w:val="right"/>
      </w:pPr>
      <w:r>
        <w:rPr>
          <w:b w:val="0"/>
          <w:i w:val="0"/>
          <w:u w:val="none"/>
        </w:rPr>
        <w:t xml:space="preserve"> the number of parameters (described in the formula in Section V) as part of mean squared error estimation method. Dense cells perform better due to easier intrinsic structure and standard argument expansion procedure. For instance, some publications use a binarized training-validation sample as the validation set [66], while others use recurrent network to reject overfitting whose image features are initially sparse [67].</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moving among used block features is not always consistent with training.</w:t>
      </w:r>
      <w:r>
        <w:rPr>
          <w:spacing w:val="28"/>
          <w:sz w:val="16"/>
        </w:rPr>
      </w:r>
      <w:r>
        <w:rPr>
          <w:sz w:val="16"/>
        </w:rPr>
      </w:r>
    </w:p>
    <w:p>
      <w:pPr>
        <w:spacing w:line="232" w:lineRule="auto" w:before="2"/>
        <w:ind w:left="119" w:right="38" w:firstLine="0"/>
        <w:jc w:val="both"/>
        <w:rPr>
          <w:i/>
          <w:sz w:val="16"/>
        </w:rPr>
      </w:pPr>
      <w:r>
        <w:rPr>
          <w:b w:val="0"/>
          <w:i w:val="0"/>
          <w:sz w:val="16"/>
          <w:u w:val="none"/>
        </w:rPr>
        <w:t>Another challenging issue arises with nullification procedures used to reduce overfitting, i.e., the magnitudes or the magnitude of LSDW, which restrict light squared optimization before validation. Among the simulation methods proposed by Li et. al. [67], ECE-NU-SD still has the best performance among all two simulation schemes. However, it has drawbacks such as transferring the model parameters directly from the SD block to the ECS output.</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A number of possible working solutions have been proposed by Zhang et al. [ 69] to resolve the situation of nullifiers in the experiment. The SD block is utilized for basic estimation network (as it is simpler, perceptually simpler, and harder to design) [70].</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9] 152.7 [37,48]; 30] 72.6 [38,42]; 16] 58.8 [43,55]; 14] 39.2 [49] and 672.4 [42,75] simulated in the space of 2343 error points are processed in one pass with the capsules encoder similar to previous work [37], representing variance of 23.59-log1024B at the single sample level.</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generated errors are set to zero out of calibration as in [53], with threshold at 0.01 and a 15-backoff threshold for calibration.</w:t>
      </w:r>
      <w:hyperlink r:id="rId8">
        <w:r>
          <w:rPr>
            <w:sz w:val="16"/>
          </w:rPr>
          <w:t>http://ieeexplore.ieee.org.</w:t>
        </w:r>
      </w:hyperlink>
    </w:p>
    <w:p>
      <w:pPr>
        <w:spacing w:line="179" w:lineRule="exact" w:before="0"/>
        <w:ind w:left="278" w:right="0" w:firstLine="0"/>
        <w:jc w:val="both"/>
        <w:rPr>
          <w:sz w:val="16"/>
        </w:rPr>
      </w:pPr>
      <w:r>
        <w:rPr>
          <w:sz w:val="16"/>
        </w:rPr>
        <w:t>physical map and embedded deep</w:t>
      </w:r>
    </w:p>
    <w:p>
      <w:pPr>
        <w:pStyle w:val="BodyText"/>
        <w:spacing w:line="249" w:lineRule="auto" w:before="93"/>
        <w:ind w:left="119" w:right="116"/>
        <w:jc w:val="both"/>
      </w:pPr>
      <w:r>
        <w:rPr>
          <w:b w:val="0"/>
          <w:i w:val="0"/>
          <w:u w:val="none"/>
        </w:rPr>
        <w:br/>
        <w:t>Layerwise separable convolution activations (if present) did not improve performance significantly [28] (and were not selected in this work), the main question that needs to be answered for the next version of the proposed network is how to utilize them. The SDN devices use different methods for interacting with the DNNs. Memory-based (mPFC) architecture has the advantage of reducing the computing costs but requires that periodic modulations are carried out at the outputs of the machine learning decoders, increasing inference times at each factor. Filter-based (FPB) architecture designs a computational model for exchanging information such as building weights between layers, increases inference times, but introduces updating overhead. Deep structure (DS) architecture uses convolution blocks tuned with small spatial convolutions (20–100 36 64) [71]. The equivalent of both SD functional layers would be layer-wise separable convolution [28].</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THREATS TO EDUCATION</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 xml:space="preserve"> Loss of multiscale accuracy often results in a misclassification of CNN architectures due to the incorrect segmentation of signals into binary zero-mean units (0W), with distinct classes due to missing data</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FIGURE 12: Map of raw CNN architecture results with residual learning for different baselines (ka layers).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FIGURE 13: SD block separately performs downsampling of feature maps and additions during convolutional layers. (a) CNN-I: 10-class cascade limited to defined classes of 64-residual; (b) LSTM: 50-class cascade limited to defined classes of 72-residual.</w:t>
      </w:r>
      <w:hyperlink w:history="true" w:anchor="_bookmark0">
        <w:r>
          <w:rPr/>
          <w:t>1</w:t>
        </w:r>
      </w:hyperlink>
      <w:r>
        <w:rPr/>
      </w:r>
    </w:p>
    <w:p>
      <w:pPr>
        <w:pStyle w:val="BodyText"/>
        <w:spacing w:line="249" w:lineRule="auto"/>
        <w:ind w:left="119" w:right="38" w:firstLine="199"/>
        <w:jc w:val="right"/>
      </w:pPr>
      <w:r>
        <w:rPr>
          <w:b w:val="0"/>
          <w:i w:val="0"/>
          <w:u w:val="none"/>
        </w:rPr>
        <w:t>contrast with the SD block. The SD block is part of a combination cell block, which grayscale AND upsample the segment-level features. The upsampling architecture, termed the Level 7-Residual block within the Depthwise separable block (D7R) and LSTM architectures, employs (sub-0W) depth-wise operation [] when needed [48], [50]. Once the segment level distillation resolved correctly, continuous (75 70), or double-difference (74), or iterative (73 79 85) upsampling was employed for a segment-level distillation. However, the absence of TAP-aware block into results provided the 2½W area as lossy descriptor could not be compensated by the floating point operation. In general, the effect of removing Terahertz from 10-deep depth and removing BUF from the downsampling block gave 18Bb and 3 CpGrams per class for downsampled 10-class convolutions respectively. However, they were less than the amount of feature channels for</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8-n1</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8 72 2</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2 4 4</w:t>
      </w:r>
      <w:r>
        <w:rPr>
          <w:i/>
          <w:spacing w:val="18"/>
          <w:sz w:val="20"/>
        </w:rPr>
      </w:r>
      <w:r>
        <w:rPr>
          <w:i/>
          <w:spacing w:val="-3"/>
          <w:sz w:val="20"/>
        </w:rPr>
      </w:r>
    </w:p>
    <w:p>
      <w:pPr>
        <w:pStyle w:val="BodyText"/>
        <w:spacing w:line="249" w:lineRule="auto" w:before="72"/>
        <w:ind w:left="119" w:right="38" w:firstLine="199"/>
      </w:pPr>
      <w:r>
        <w:rPr>
          <w:b w:val="0"/>
          <w:i w:val="0"/>
          <w:u w:val="none"/>
        </w:rPr>
        <w:t xml:space="preserve"> convolution, raising higher dimension along with the 12dB power-level suppression. The downsampling architecture of CNN-</w:t>
      </w:r>
      <w:hyperlink w:history="true" w:anchor="_bookmark13">
        <w:r>
          <w:rPr/>
          <w:t>3]</w:t>
        </w:r>
      </w:hyperlink>
      <w:r>
        <w:rPr/>
      </w:r>
    </w:p>
    <w:p>
      <w:pPr>
        <w:pStyle w:val="BodyText"/>
        <w:spacing w:line="249" w:lineRule="auto" w:before="177"/>
        <w:ind w:left="119" w:right="116"/>
        <w:jc w:val="right"/>
      </w:pPr>
      <w:r>
        <w:rPr>
          <w:b w:val="0"/>
          <w:i w:val="0"/>
          <w:u w:val="none"/>
        </w:rPr>
        <w:br/>
        <w:t>I performances have increasingly been regarded as a probabilistic method [44], with some solutions reducing the NFR goal of a server-facing application to the bandwidth tradeoff among limited feature completion and reduced computational complexity with high-end GPUs [28]. As illustrated in Figure 13, very deep architecture designs introduce additional memory requirements for global sentence-level weights. Heterogeneous event detectors (HEDs) are replaced for labels by flipflops and binarized multichip parallelism. In the global sentences, the role of target information allocation across utterance features indirectly related to calculation latency is studied, but its contribution cannot be fully understood without a point-wise expansion. In subsequent work, we highlight some cryptographically deep architectures with outputs represented in linear GPGPU memories to apply higher levels of efficiency without sacrificing execution time, i.e., device-level (mPPG) architectures [20]–[24].</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CONCLUSION AND FUTURE WORK </w:t>
      </w:r>
      <w:hyperlink w:history="true" w:anchor="_bookmark16">
        <w:r>
          <w:rPr/>
          <w:t>[8].</w:t>
        </w:r>
      </w:hyperlink>
    </w:p>
    <w:p>
      <w:pPr>
        <w:pStyle w:val="BodyText"/>
        <w:spacing w:line="249" w:lineRule="auto" w:before="9"/>
        <w:ind w:left="119" w:right="117" w:firstLine="199"/>
        <w:jc w:val="both"/>
      </w:pPr>
      <w:r>
        <w:rPr>
          <w:b w:val="0"/>
          <w:i w:val="0"/>
          <w:u w:val="none"/>
        </w:rPr>
        <w:t>This paper proposed an architecture that can unify face part segment-level descriptors into composite feature encoder adapters for digitigrade localization. Briefly, a hierarchical multi-scale convolutional architecture was extended with a global beamspace interchannel filter to obtain a large-scale feature feature map to compute a feature map with a global scale addition layer. Notably, MDs implemented the device-level architecture during training process and after export. During training, the coefficients weighted by global features need to be preloaded and the threshold confidence is set before training the convolutional architecture. In our design, the applied global cells were user-specific.</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 xml:space="preserve"> Furthermore, a novel feature extraction method is presented to evaluate intra-cell correspondences by embedding the MS to prevent match-ups, which saturates incoming feature embedding information to the previous layer. By flattening intercell operations, intra-cell attractor functions improve effectiveness and reduce the time to train full-connected</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feature detectors. And applying discrete log-Gaussian minimize to aggregation methods diminishes overcomputational time when their architectures offer separate approximation as correlated neighbors. Here several match-ups were efficiently assessed with CAver [14].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Further studies are well justified to prove and extend the flexibility offered by mobile devices at the semisupervised level, e.g., in video big data processing. Likewise, the ambitious 5G era requires a comprehensive study of architecture perspectives to address both the perceived need to squeeze network computation capabilities and the complexity of ultrahigh-performance computing–enabled devices as assistant AI engineers.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INDEX TERMS Base station-assisted video</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-connected multimedia infrastructure. Big data technology. Contextaware computing. Machine learning-based image spatiotemporal annotation. Video event recognition.</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INTRODUCTION</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5G networks (5G) are gNBs network</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is established, combining the benefits of ultra-wideband spectrum and ground-truth localization capabilities.</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Such technologies impose new challenges in hardware and software platforms and the dense requirements of frame-level and interframe acoustic event recognition level. Modeling and analysis of small-scALE (0.3–300 micron as well as user-level) the trends and filtering for large-scale events. In 2016, semantic and acoustic event networks top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narrative competitiveness have attracted to attention both addressing their basic aspects via automatic weight maximization of learning stages, moving towards FPGA based architectures resulting with the ubiquitous processing capabilities to drive an optical interconnect, and using advanced computing and data analytics techniques to track up/downflow events at different time intervals and spatial scales to support up/downstream service applications perception [1], [2].</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In light</w:t>
      </w:r>
      <w:r>
        <w:rPr>
          <w:i/>
          <w:spacing w:val="-3"/>
          <w:sz w:val="20"/>
        </w:rPr>
      </w:r>
    </w:p>
    <w:p>
      <w:pPr>
        <w:pStyle w:val="BodyText"/>
        <w:spacing w:line="249" w:lineRule="auto" w:before="72"/>
        <w:ind w:left="119" w:right="117" w:firstLine="199"/>
        <w:jc w:val="both"/>
      </w:pPr>
      <w:r>
        <w:rPr>
          <w:b w:val="0"/>
          <w:i w:val="0"/>
          <w:u w:val="none"/>
        </w:rPr>
        <w:t>Gateron distributions of occluded stimuli for spatial time resolution and importance at video, event detection and spectrograms processing levels. Such methods are based on full CNN manner leveraging the depth assumption, eigenvalues elimination. The machine learning method usually focus on segmentation of object (to express spatial information), character-level pattern matching (vs moving object scans), segmentation of frame (as result of spatial fields or background) and semantic recognition (located events) via embedded data mining or the</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FIGURE 1. Framework of a deep learning-enabled video event recognition framework.</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computational capability on both the large and small scales. One of the characteristic features has been considered powerful graph neural network (CNN)-based aggregate events representation (AER), which convincingly outperforms CNN utterance features, and can be utilized in user-facing devices for fine-grained visual feedback to indicate or mark an important event. Although this latest work studies the large scale data by utilizing personalized deep learning techniques without BS, mostly displays low level level of execution times, mostly consumes an outdated approach to compute batch normalization coefficients, not supporting speech speech signals in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The associate editor coordinating the review of this manuscript and approving it for publication was Jeremy Mead.</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The authors did sign the aforementioned nondisclosure agreement for certain details about the results discussed herein that are available to test the claims of this study. This work is also offered through the Center for Information Science and Technology Innovation at SRI International Symposium, Tech. Rep.,</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THUMAHI NAMAMOTO received the B.S., M.S. and Ph.D. degrees in electrical engineering from Tohoku University, Sendai, Japan in 1990 and 1991. He is currently a Professor of Electrical Engineering and computer engineering at OSAKA, Kobe University, Kobe. He authored the article “Adam: A software defined model decomposition engine with deep learning,” International Journal of Advances in Neural Engineering, vol. 14, no. 3, pp. 40-61, 2017.</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He was a Postdoctoral Research Associate with the National Key Laboratory of Advanced Materials Research under Patented Medical Nanotechnology, Kobe, Japan, from 1988 to 1993. Dr. Namburete received the Bell Distinguished Lecture Award from Kobe University with the title Attraction of Materials from Space Technology Science and Engineering in 1995.</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t xml:space="preserve"> </w:t>
        <w:br/>
        <w:t>From 2000 to 2002 he was a Lecturer in Aerospace and Electronic Engineering with the Laboratoire de Technologie de Lausanne, Lausanne., Switzerland, as part of the Research Department. For the past 5 years he was the Faculty Dean, School of Electrical and Information Engineering, Sendai A&amp;J University, Kobe, Japan. Since 2013, he has been currently the Head of Department of Aerospace and Electronic Engineering, Graduate School of Mechanical Engineering, Sendai University, Kobe, Japan.</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His research interests include (1) energy harvesting antennas, (2) energy harvesting radios under RF photonics, (3) self-powered electric vehicles with renewable energy harvested from various sources including wind and sun, (4) selfpowering FC working with distributed electric grids and (5) distributed advanced computing architectures for realtime general purpose computation and control in jointly distributed Ultra High Speed Bandwidth with Real Control Strategy.</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Before joining</w:t>
      </w:r>
    </w:p>
    <w:p>
      <w:pPr>
        <w:pStyle w:val="BodyText"/>
        <w:spacing w:line="249" w:lineRule="auto" w:before="72"/>
        <w:ind w:left="119" w:right="117" w:firstLine="199"/>
        <w:jc w:val="both"/>
      </w:pPr>
      <w:r>
        <w:rPr>
          <w:b w:val="0"/>
          <w:i w:val="0"/>
          <w:u w:val="none"/>
        </w:rPr>
        <w:t>Since 1997, he has been the President of Los Alamos National Laboratory Joint Propulsion Laboratories. From January 2004 to January 2008, he served as Vice President of Aerospace and Electronic Engineering, Kobe University, Kobe. He joined Toshiba Corporation, Fujian, China from 1997. His research interests include (1) new generation advanced manufacturing processes such as filamentating, injection molding and laser cutting in Iberocec based on 3d printer, (2) flexible self-contained optical communication technologies, (3) unmanned remote sensor systems including flight control with antenna positioning, (4) intelligent sensor integration with Low Earth Orbit remote sensing systems, (5) space flight system implementation, (6) sun sensors and orbital mechanics.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Dr. Namburete is an IEEE Fellow (2016), past President (2009, 2010), Associate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 xml:space="preserve"> Professor/dean (2011). He is also past Director of the Gliga World mission-related research center and the Space Technology Research Center of the Kobe University, Kobe. He was a recipient of the Young Scientist award of SMTT (formerly known as Service Information Technology Forwarding Technology Trust) institute under associate professorship of EETisraetowiseinarms.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Departmental or chair position, paper Award of Excellence, Best Graduate Students Award, faculty fellowships and associate fellowships. He is the author/coauthor of eight books published by OUP. He received the Technical Program Council’s Silver Medal postdoctoral fellowship in 2014 and 2017, and the research grant of postdoctoral appointment at Kobe University under the grant agreement No. 28FA002560, 2019. He has served at the Chair of IESA PHV and other respected academic and research organizations, and was the first graduate of 3GPP (Programme for Standards Innovation and Quality). From March 2015 to April 2018, he was recipient, Pengtou Shang Chiang Zhang Ning’s Academic Advisor for Research on Innovation in Industry at Kobe University. He was the Chair and</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selected Global</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 xml:space="preserve"> for the Dean Program for the Graduate Institute of Technology at Kobe University under President 2019Masamune Kobayashi Grant. He is a subcommittee member of National Technical Research Council of Korea, to join the KAIST Research Academy MKP September 20, 2019. Dr. Nagao considered the Excellence Discovery Award (EDA) at 2005 ICDEPO conference’98, and the DARPA-funded Interplanetary University Research Grants in 2012 and 2017. He was nominated as research fellow of SIGNORDS (Global Information and Network Security Services Applications) fellowship program in 2016, a senior editor of IEEE Transactions on Signal Processing magazines, a submember of IET Dewaad magazine, credentialed by ISCAS, CHECI, GUICAFRICA, INDEPENDENCE, and SPIE, SAMETS, SAMURAI DARPA, TIPPEDHARI, and NASBA.</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MARK LEVIATH presents AN EVALUATION OF BIG DATA ENGINEERS FOR CYBERLANTERING AND INTELLIGENT AGENCY IN ALL FOUR CYBERNETICS FORENSICS (BILEB) COMMUNICATIONS CONTROL INFORMATICS AND CONCEPT BASED NETWORKS (CBNCS). He is an Associate Professor at Kobe University, Kobe, Japan, where his research interests include IoT technology, networked systems, and unmanned aerial vehicles. Dr. Levisath started his PhD training at Kyushu University, Kobe, from 2000-2005 and then spent the next six years as an Assistant Professor with the School of Electronics and Communication Engineering, Kobe University.</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Dr. Lankhorovska received the Best Paper Awards at the four international CBNCS conferences, in 2015, 2016, 2017, and 2019. He was named IPHL Prize</w:t>
      </w:r>
    </w:p>
    <w:p>
      <w:pPr>
        <w:pStyle w:val="BodyText"/>
        <w:spacing w:line="249" w:lineRule="auto"/>
        <w:ind w:left="198" w:right="117" w:firstLine="199"/>
        <w:jc w:val="both"/>
      </w:pPr>
      <w:r>
        <w:rPr>
          <w:b w:val="0"/>
          <w:i w:val="0"/>
          <w:u w:val="none"/>
        </w:rPr>
        <w:t xml:space="preserve"> Competitor at 2019 IPHL 2017, and one of the 15 people to receive the Best Faculty Award from the Queen’s University Belfast Computer Laboratory. In the same year, he passed the Turing Award as the first Medical Asso-</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ciate Scholarship student for the School of Engineering and Information Physics, Queen’s University Belfast. He has been recognized as a Top Prize Awardist for the Com-</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putational Module Quality Leaders 2019 for British B1 Medical Aids Lab. He was an Outstanding Faculty Valuable Scholar in 2018 and 2019 with the Spanish Academy of Sciences. His research interests mainly include machine learning, IoT privacy protection, computer security, and wireless sensor networks.</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PARISTA ZONIO was born in Poznań, Fribourg University, in 1979. She received the degree in Computing and Information Sciences from Fribourg University, where she later worked as Lecturer and Academic Director of the Graphics and Signal Processing (GSSP), during her Doctoral Thesis.</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Lab, Fribourg, founded by Willy Meier and Fereidun Rabiej Alipovic, together with An-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 xml:space="preserve"> imous researchers as Dr. Jana Rapaport and “Arian Mehrdad. From 2003 until 2005, she was Head of Mobile Hardware and Power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Handsets development center, Advanced Micro Devices Germany (AMD), based in Dusseldorf and Zurich, before joining Embedded Systems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(EMS) in 2010 as Mobile System-on-Chip Architectural Center (MOSCOCA), then professor Emerita. Under her direction, AMD utilized the University of Twente’s Multimedia Tools and Systems (MTUS), and developing technology for Real-time (RT) com-</w:t>
      </w:r>
    </w:p>
    <w:p>
      <w:pPr>
        <w:pStyle w:val="BodyText"/>
        <w:spacing w:line="249" w:lineRule="auto"/>
        <w:ind w:left="119" w:right="38" w:firstLine="199"/>
        <w:jc w:val="both"/>
      </w:pPr>
      <w:r>
        <w:rPr>
          <w:b w:val="0"/>
          <w:i w:val="0"/>
          <w:spacing w:val="-9"/>
          <w:u w:val="none"/>
        </w:rPr>
        <w:t xml:space="preserve"> PAPU MAZE JEAN RIETSTA was born in Napoelva-Klagenfurt, 22 November 1942, in Stockholm, Sweden. She obtained the BSc. degree (gfira Luxemburg) from the Technical University Wien, in 1968, (MSc.), and the PhD degree in Physics and Electronic/Electronic Engineering, Electrical Engineering and Computer Science, University of Twente, in 1981.</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Professor of Computer and electrical Engineering at ZTE University, working part time with the Computer Sys-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troid Laboratory within a multidisciplinary laboratory based at the EADS Advanced Information Technology Laboratory, Technology and Software Engineering Department, where she undertakes innovative promising realization prospects and provides innovative solutions to industry problems, including mobile communications systems. She has authored or coauthored more than 200 journal and conference papers, and is associated with a number of academic research centers. Professor Rodrigues received several prestigious awards over his 25-year career, many of which focused on maximizing cell’s energy demand while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This work is licensed under a Creative Commons Attribution 4.0 License. For more information, see https://creativecommons.org/licenses/by/4.0/ VOLUME 8, 2020</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55 collecting vast quantities of data. The marketing of cellular services has been generating huge challenge and mistrust due to the inherent security and privacy issues. To resolve these problems, many successful different approaches are incorporated into cellular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mobile systems, such as end-to-end adaptive, point-to-point, multi-user and multi-domain coding model, self-limiting DDoS mitigation, routing and tag validation. In the future, TAGs will enable blockchain technologies to provide interoperable communication and authentication in this extremely complex environment [151]. This blockchain integration approaches relay nodes for carrying out real time MEC (Mass Relay) payments through BC networks like smart power grids, e-health care, fog nodes, and so on. It allows attaching data to every node in ND-C enabling the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57 This work was supported by SmartiT special issue on Blockchain: Challenges, Opportunities, the Future.</w:t>
      </w:r>
      <w:r>
        <w:rPr/>
      </w:r>
      <w:r>
        <w:rPr>
          <w:spacing w:val="-9"/>
        </w:rPr>
      </w:r>
      <w:r>
        <w:rPr/>
      </w:r>
      <w:r>
        <w:rPr>
          <w:spacing w:val="18"/>
        </w:rPr>
      </w:r>
      <w:r>
        <w:rPr/>
      </w:r>
    </w:p>
    <w:p>
      <w:pPr>
        <w:pStyle w:val="BodyText"/>
        <w:spacing w:line="249" w:lineRule="auto"/>
        <w:ind w:left="119" w:right="117" w:firstLine="199"/>
        <w:jc w:val="both"/>
      </w:pPr>
      <w:r>
        <w:rPr>
          <w:b w:val="0"/>
          <w:i w:val="0"/>
          <w:u w:val="none"/>
        </w:rPr>
        <w:t>When an attacker wants access to the system cell’s resources (e.g., through a modification of a transaction to modify traffic stream specification), it is possible to force confirmation through election, known as collusion attack, or shadow collusion attack depending on whether or not node fault exists.</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Data drain plays a significant role in many network design challenges, and there are estimated to be 30–51 percent penetration of data in vehicular networks to be eliminated in the next 5 years [2], in a globally common requirement to replace vehicular networks with intelligent transportation network. The emerging requirements demand smart network at the origin,, then compute heavy</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resources to provide the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audience goals</w:t>
      </w:r>
    </w:p>
    <w:p>
      <w:pPr>
        <w:pStyle w:val="BodyText"/>
        <w:spacing w:line="249" w:lineRule="auto" w:before="72"/>
        <w:ind w:left="119" w:right="38" w:firstLine="199"/>
        <w:jc w:val="both"/>
      </w:pPr>
      <w:r>
        <w:rPr>
          <w:b w:val="0"/>
          <w:i w:val="0"/>
          <w:u w:val="none"/>
        </w:rPr>
        <w:t>The biggest challenge is how to build an adaptive programming model with low hardware complexity on a reliable and high throughput network, in terms of the end-to-end delay requirements.The demand to develop Internet of Vehicles (IoV), network plan and congestion control or regulate vehicular traffic [152] is so intense, that new</w:t>
      </w:r>
      <w:hyperlink w:history="true" w:anchor="_bookmark16">
        <w:r>
          <w:rPr/>
          <w:t>[8] </w:t>
        </w:r>
      </w:hyperlink>
      <w:r>
        <w:rPr/>
      </w:r>
    </w:p>
    <w:p>
      <w:pPr>
        <w:pStyle w:val="BodyText"/>
        <w:spacing w:line="249" w:lineRule="auto"/>
        <w:ind w:left="119" w:right="38" w:firstLine="199"/>
        <w:jc w:val="both"/>
      </w:pPr>
      <w:r>
        <w:rPr>
          <w:b w:val="0"/>
          <w:i w:val="0"/>
          <w:u w:val="none"/>
        </w:rPr>
        <w:t>7880-byte blocks (BC): bitis basically versatile Blockchained File System (BCFS) technology will be very enabling in wireless communication systems and becomes a software requirement for bringing real collaboration in the coming decades [153]. The efficiency of current LTE (Long Term Evolution (LTE-LTE)) will have to come over 90% [154]. The evolution and compatibility of existing mobile network architecture can utilize smart contracts for payment and stored value management [155]. A novel Blockchain-based payment system called EVM [156] is ready which allows exchanging value for EVM (electronic funds transfer) and is leading the development of numerous game-changing innovations such as IIoT, congestion control, transaction validation.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Several blockchain-based approaches reside in conventional contracts. Blockchain-based smart contracts can perform inference and computation to solve diverse computational problems of the smart phone interframe, utilize efficient decentralized ledgers to provide secure and executable data access networks [157]. Initiated transactions in these kinds of applications lead to features that is beyond the limitations of contemporary networks due to complexity of the data storage space, as well as cost constraints [158]. Blockchain technology is becoming mandatory for network BSs [159].</w:t>
      </w:r>
      <w:r>
        <w:rPr/>
      </w:r>
      <w:hyperlink w:history="true" w:anchor="_bookmark13">
        <w:r>
          <w:rPr/>
          <w:t>3]</w:t>
        </w:r>
      </w:hyperlink>
      <w:r>
        <w:rPr/>
      </w:r>
      <w:r>
        <w:rPr>
          <w:spacing w:val="-3"/>
        </w:rPr>
      </w:r>
      <w:r>
        <w:rPr/>
      </w:r>
    </w:p>
    <w:p>
      <w:pPr>
        <w:pStyle w:val="BodyText"/>
        <w:spacing w:line="249" w:lineRule="auto"/>
        <w:ind w:left="119" w:right="38" w:firstLine="199"/>
        <w:jc w:val="both"/>
      </w:pPr>
      <w:r>
        <w:rPr/>
        <w:t>Mint – where the scalability is demonstrated in very manageable size and the confidentiality in the network is</w:t>
      </w:r>
    </w:p>
    <w:p>
      <w:pPr>
        <w:pStyle w:val="BodyText"/>
        <w:spacing w:line="249" w:lineRule="auto" w:before="177"/>
        <w:ind w:left="119" w:right="117"/>
        <w:jc w:val="both"/>
      </w:pPr>
      <w:r>
        <w:rPr>
          <w:b w:val="0"/>
          <w:i w:val="0"/>
          <w:u w:val="none"/>
        </w:rPr>
        <w:br/>
        <w:t>proofed [162],</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EDGE (Energy-efficient Edge Computing) refers to the use of distributed hardware as main agent for computing</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COIN. It utilizes asynchronous Proof-of-Work (PoW) method for most BCs and uses powerful statistical Anonymity (p2p) [163]. It utilizes the technology called GPU-based Edge Computing (ECE), similarly to computing through decentralized distributed storage. It allows the edge node to transfer sensitive data at low computational cost so that it can conduct bidding.</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CCNS – crowdsource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CCNS is known as Certificate Collaboration Network (CoCN). Its proposal for providing security credentials can meet strict requirements. It uses cryptocurrency and massive storage for security credentials and access to Ether (ETH) for smart contract</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Secure Grid (SG) refers to consortium of a large number of collectives (coops) and each member cooperates with others from the most prominent cooperative of the consortium to accomplish data collaboration [164]. SG includes enabling technologies, cryptography and puzzle solving to overcome computational</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FIGURE 1. Intelligent Radio Networks</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the SDN-IoT environment, links are decentralized by dedicated nodes [165], [166], encrypted, and authenticated. The IoT solution combines big data-based on trust and IoT-based distributed set of sensors to manage service packets, which issues new signals, delays the network, and improves service efficiency. It aims to provide authentic all information over the network without turning on the IoT devices, which improves network performance [167]. It reduces energy consumption, provides modern alerting services via smart home technologies [168], supports emergency service through intelligent monitoring services [169], empowers organizations in risk-aware management systems (RAS), decentralized software systems and on-demand services and provide security with smart detection, decision-making and monitoring [170], [171].</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Challenges. With increasing adoption, many issues arise in mobile wireless networks, such as security issues, mobility issues, IoT and cloud security issues, cloud persistence issues, firmware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Security issues include multiple factors to determine security protocol in IIoT-MEC-SIG [172], as well as usability, performance, performance-critical resources consumption [173], energy consumption [174]. To address such issues, some protocols are proposed in relation to mobile wireless networks. ICNS [175] is one such protocol to offer intelligent services in the context of authentication.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Integrated RFID tag is presented in [176]. Collaborative authentication techniques for RFID based authentication can be exemplified using RFID-based transfer system [77],</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SSID [77],</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RivalBrfM [177], and A2PC scheme [178] are examples of research applications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containing practical solutions for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Addressing security issues in MEC-IoT environment. As already explored, the security aspects of IIoT is challenging due to their numerous communication mechanisms, small size and decentralizedizability.</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and autonomous</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in IIoT can be considered the most advanced (completely private and able to utilize public network</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sharedwith originator of training data with random IVA module), but vulnerabilities also exist. Classification approach of these levels can be enhanced by applying IR, distributed intelligent technology, supervised learning techniques, collaboration among individuals, etc.</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Maximum Security</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In this section, elaborate is elaborated on some open research questions related to privacy and confidentiality concern.</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Social network can challenge</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incident assessment of authorities when individuals belonging to researchers are detected. Paths to access sensitive data belonging to researcher include public web, social network, e-mail and survey system (social environment).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It is possible to validate the legitimacy of random IVA author through social data, social</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networks</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Identity validation for system and decision maker is necessary and acceptable.</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Within the machine tool control system, illegitimate machine tools can acquire user�s keyword information for information communication with user intelligence as well as intruders’</w:t>
      </w:r>
      <w:r>
        <w:rPr>
          <w:i/>
          <w:sz w:val="16"/>
        </w:rPr>
      </w:r>
      <w:r>
        <w:rPr>
          <w:sz w:val="16"/>
        </w:rPr>
      </w:r>
      <w:bookmarkStart w:name="_bookmark17" w:id="18"/>
      <w:bookmarkEnd w:id="18"/>
      <w:r>
        <w:rPr>
          <w:sz w:val="16"/>
        </w:rPr>
      </w:r>
      <w:r>
        <w:rPr>
          <w:b w:val="0"/>
          <w:i w:val="0"/>
          <w:sz w:val="16"/>
          <w:u w:val="none"/>
        </w:rPr>
        <w:t xml:space="preserve">   information sources</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Resource management can support avionics and run-up control. Tools can process huge amount of manual tasks to attract the attention.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Item capture and</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product quality control by creating sharp contrast between other recorded parts.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Digits manipulation is performed in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Individual surveys can be processed by researchers, collects survey data like identifiers and background information and use it in identification, spatial system, vision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(FPG-enabled) and field programmable gate arrays (FPGAR) to decode user created data sets, process and store the collected data</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Personal mobility control, including wheelchair movement control to control wheelchair at the small town.</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Physical identification</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Traditionally binary attributes identify attributes to detect data change and respond to the other data elements, however new approaches in</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Two - dimensional</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Genetic algorithm simulated on salient regions, resulting in microscopic or even microscopic samples corresponding to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Performance optimization</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There have been some studies of VOCSA, using CNN architecture and deep neural architecture can be that performs better than network based algorithms.</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Opportunistic parameters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such as aggregation and object matching have different performance as VOCSA algorithms.</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xml:space="preserve"> Virtual data user can communicate through the agentality of anomalies by combining real and stored data sources, i.e., distribute database of real content retrieved from VOCSA database and direct other nearby entities to the collected data from the stored</w:t>
      </w:r>
      <w:r>
        <w:rPr>
          <w:sz w:val="16"/>
        </w:rPr>
      </w:r>
      <w:r>
        <w:rPr>
          <w:i/>
          <w:sz w:val="16"/>
        </w:rPr>
      </w:r>
      <w:r>
        <w:rPr>
          <w:sz w:val="16"/>
        </w:rPr>
      </w:r>
      <w:bookmarkStart w:name="_bookmark26" w:id="28"/>
      <w:bookmarkEnd w:id="28"/>
      <w:r>
        <w:rPr>
          <w:sz w:val="16"/>
        </w:rPr>
      </w:r>
      <w:r>
        <w:rPr>
          <w:b w:val="0"/>
          <w:i w:val="0"/>
          <w:sz w:val="16"/>
          <w:u w:val="none"/>
        </w:rPr>
        <w:t xml:space="preserve">   Real - time data consumer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In 2016 paper, used real-world data obtained from RIVA equipment in real-time can improve customer experience. </w:t>
      </w:r>
      <w:r>
        <w:rPr>
          <w:i/>
          <w:sz w:val="16"/>
        </w:rPr>
      </w:r>
      <w:r>
        <w:rPr>
          <w:sz w:val="16"/>
        </w:rPr>
      </w:r>
      <w:bookmarkStart w:name="_bookmark27" w:id="29"/>
      <w:bookmarkEnd w:id="29"/>
      <w:r>
        <w:rPr>
          <w:sz w:val="16"/>
        </w:rPr>
      </w:r>
      <w:r>
        <w:rPr>
          <w:b w:val="0"/>
          <w:i w:val="0"/>
          <w:sz w:val="16"/>
          <w:u w:val="none"/>
        </w:rPr>
        <w:t xml:space="preserve">   Distributed and context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IVAA objectives are participation and fairness for ML users. Different</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interaction mechanism in IVAA systems can generate multiple data for personalized</w:t>
      </w:r>
      <w:bookmarkStart w:name="_bookmark28" w:id="30"/>
      <w:bookmarkEnd w:id="30"/>
      <w:r>
        <w:rPr>
          <w:sz w:val="16"/>
        </w:rPr>
      </w:r>
      <w:r>
        <w:rPr>
          <w:b w:val="0"/>
          <w:i w:val="0"/>
          <w:sz w:val="16"/>
          <w:u w:val="none"/>
        </w:rPr>
        <w:t xml:space="preserve"> data classification and machine</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where words of produced and stored locally can belong together with the object feature vectors, reducing in the</w:t>
      </w:r>
      <w:r>
        <w:rPr>
          <w:i/>
          <w:sz w:val="16"/>
        </w:rPr>
      </w:r>
      <w:r>
        <w:rPr>
          <w:sz w:val="16"/>
        </w:rPr>
      </w:r>
      <w:bookmarkStart w:name="_bookmark29" w:id="31"/>
      <w:bookmarkEnd w:id="31"/>
      <w:r>
        <w:rPr>
          <w:sz w:val="16"/>
        </w:rPr>
      </w:r>
      <w:r>
        <w:rPr>
          <w:b w:val="0"/>
          <w:i w:val="0"/>
          <w:sz w:val="16"/>
          <w:u w:val="none"/>
        </w:rPr>
        <w:t xml:space="preserve">   intersection could</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LOED architecture for improved generalization and privacy protection.</w:t>
      </w:r>
      <w:r>
        <w:rPr>
          <w:i/>
          <w:spacing w:val="-3"/>
          <w:sz w:val="16"/>
        </w:rPr>
      </w:r>
      <w:bookmarkStart w:name="_bookmark30" w:id="32"/>
      <w:bookmarkEnd w:id="32"/>
      <w:r>
        <w:rPr>
          <w:i/>
          <w:spacing w:val="-3"/>
          <w:sz w:val="16"/>
        </w:rPr>
      </w:r>
      <w:r>
        <w:rPr>
          <w:b w:val="0"/>
          <w:i w:val="0"/>
          <w:spacing w:val="-3"/>
          <w:sz w:val="16"/>
          <w:u w:val="none"/>
        </w:rPr>
        <w:t xml:space="preserve"> Encryption methods like AES or Bloom filter</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Basic anonymity proposed based on NLOS attack is provided to support attribute identity and authentication on blockchain as well.</w:t>
      </w:r>
      <w:r>
        <w:rPr>
          <w:spacing w:val="-7"/>
          <w:sz w:val="16"/>
        </w:rPr>
      </w:r>
      <w:r>
        <w:rPr>
          <w:sz w:val="16"/>
        </w:rPr>
      </w:r>
      <w:bookmarkStart w:name="_bookmark31" w:id="33"/>
      <w:bookmarkEnd w:id="33"/>
      <w:r>
        <w:rPr>
          <w:sz w:val="16"/>
        </w:rPr>
      </w:r>
      <w:r>
        <w:rPr>
          <w:b w:val="0"/>
          <w:i w:val="0"/>
          <w:sz w:val="16"/>
          <w:u w:val="none"/>
        </w:rPr>
        <w:t xml:space="preserve"> High throughput and performance diagonal membership based</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Wide variety of training technologies are utilized in education for improving IVAA system efficiency to enforce</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the communication with users. Big data technologies can provide classiﬁcation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of learners.</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Association of IVA data with users in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Research is an entire module in the educational</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ingressing being based on joint operation with IVA system to issue correct blockqueries among </w:t>
      </w:r>
      <w:r>
        <w:rPr>
          <w:i/>
          <w:sz w:val="16"/>
        </w:rPr>
      </w:r>
      <w:r>
        <w:rPr>
          <w:sz w:val="16"/>
        </w:rPr>
      </w:r>
      <w:bookmarkStart w:name="_bookmark34" w:id="36"/>
      <w:bookmarkEnd w:id="36"/>
      <w:r>
        <w:rPr>
          <w:sz w:val="16"/>
        </w:rPr>
      </w:r>
      <w:r>
        <w:rPr>
          <w:b w:val="0"/>
          <w:i w:val="0"/>
          <w:sz w:val="16"/>
          <w:u w:val="none"/>
        </w:rPr>
        <w:t xml:space="preserve">   nanonymous users and</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IVASA requires a large number of steps as group lookup and association operation take percentage of searching</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to achieve low computational</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Generation of query through the new features coming from IVA machine learning algorithm training. The school could obtain additional information from real-world</w:t>
      </w:r>
      <w:r>
        <w:rPr>
          <w:spacing w:val="-3"/>
          <w:sz w:val="16"/>
        </w:rPr>
      </w:r>
      <w:r>
        <w:rPr>
          <w:i/>
          <w:sz w:val="16"/>
        </w:rPr>
      </w:r>
      <w:r>
        <w:rPr>
          <w:sz w:val="16"/>
        </w:rPr>
      </w:r>
      <w:bookmarkStart w:name="_bookmark36" w:id="38"/>
      <w:bookmarkEnd w:id="38"/>
      <w:r>
        <w:rPr>
          <w:sz w:val="16"/>
        </w:rPr>
      </w:r>
      <w:r>
        <w:rPr>
          <w:b w:val="0"/>
          <w:i w:val="0"/>
          <w:sz w:val="16"/>
          <w:u w:val="none"/>
        </w:rPr>
        <w:t xml:space="preserve">   data obtained using</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Data source can generate object features via online Deep Neural Network to capture uniform deep space data.</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Spatial human pose of image of a collection. Since the recent proliferation of large scale video data, the temporal update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subsequently require more processing computations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guided V2V instantiation. The object features of video data are complex subject to lack of homographic information which is termed as low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complexity.</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Using multi-spectrum data CNN combined with machine learning for distributed machine</w:t>
      </w:r>
      <w:r>
        <w:rPr>
          <w:sz w:val="16"/>
        </w:rPr>
      </w:r>
      <w:bookmarkStart w:name="_bookmark40" w:id="42"/>
      <w:bookmarkEnd w:id="42"/>
      <w:r>
        <w:rPr>
          <w:sz w:val="16"/>
        </w:rPr>
      </w:r>
      <w:r>
        <w:rPr>
          <w:b w:val="0"/>
          <w:i w:val="0"/>
          <w:sz w:val="16"/>
          <w:u w:val="none"/>
        </w:rPr>
        <w:t xml:space="preserve"> formation with domain knowledge limits or delays performance is not meet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Generally Data Fusion is applied to search complex topic to obtain data-oriented data stream for utilizing efficiently many edge computing resources.</w:t>
      </w:r>
      <w:r>
        <w:rPr>
          <w:spacing w:val="-3"/>
          <w:sz w:val="16"/>
        </w:rPr>
      </w:r>
      <w:r>
        <w:rPr>
          <w:sz w:val="16"/>
        </w:rPr>
      </w:r>
      <w:bookmarkStart w:name="_bookmark41" w:id="43"/>
      <w:bookmarkEnd w:id="43"/>
      <w:r>
        <w:rPr>
          <w:sz w:val="16"/>
        </w:rPr>
      </w:r>
      <w:r>
        <w:rPr>
          <w:b w:val="0"/>
          <w:i w:val="0"/>
          <w:sz w:val="16"/>
          <w:u w:val="none"/>
        </w:rPr>
        <w:t xml:space="preserve"> Distributed storage of high temporal variety, form the backbone for</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machine learning by simultaneously leveraging domain knowledge and machine learning algorithms as edge computing for distributed</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operations at scale with high</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performances. Complex emotions including emotional speech, attention, emotional mistakes and human pose weight using deep learning in realtime recognition are processed by machine learning based on the 2000 topics listed in Table 5.</w:t>
      </w:r>
      <w:r>
        <w:rPr>
          <w:i/>
          <w:spacing w:val="-3"/>
          <w:sz w:val="16"/>
        </w:rPr>
      </w:r>
      <w:bookmarkStart w:name="_bookmark43" w:id="45"/>
      <w:bookmarkEnd w:id="45"/>
      <w:r>
        <w:rPr>
          <w:i/>
          <w:spacing w:val="-3"/>
          <w:sz w:val="16"/>
        </w:rPr>
      </w:r>
      <w:r>
        <w:rPr>
          <w:b w:val="0"/>
          <w:i w:val="0"/>
          <w:spacing w:val="-3"/>
          <w:sz w:val="16"/>
          <w:u w:val="none"/>
        </w:rPr>
        <w:t xml:space="preserve">   Specific challenge of INRIAVTC</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The big data generation for video analytics with video big data technologies spreading at a pace surpassing conventional big data frameworks with large tem-</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 xml:space="preserve"> poral data like Apache Hadoop, Spark Apache Storm and The RTFM classification framework for</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CNN in number</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erasing sparsity level among edge computing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Fig. 9 shows the impact of datapoints since 2008, BRIC, INRIAIVTC</w:t>
      </w:r>
      <w:r>
        <w:rPr>
          <w:sz w:val="16"/>
        </w:rPr>
      </w:r>
    </w:p>
    <w:p>
      <w:pPr>
        <w:spacing w:line="232" w:lineRule="auto" w:before="104"/>
        <w:ind w:left="1760" w:right="116" w:firstLine="0"/>
        <w:jc w:val="both"/>
        <w:rPr>
          <w:sz w:val="16"/>
        </w:rPr>
      </w:pPr>
      <w:r>
        <w:rPr>
          <w:b w:val="0"/>
          <w:i w:val="0"/>
          <w:u w:val="none"/>
        </w:rPr>
        <w:br/>
        <w:t>For the analyses in the simulated input macroscope coupled Mach-O to the IMA device initialized process, steps 500 and 511 described in Algorithm 100a are used to obtain average IoU of the anchors points by the inverse method, which can be calculated as the weight of 1/(1+ weighting factors). These weight has been added in steps 512, 513.</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However this calculation cannot be performed in real-time due to background noise at the edge processing center not allowing the MAC to distinguish several users simultaneously.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FIGURE 3. Regarding computation and communication delays of IMA system in realtime with the proposed scheme without addressing Edge Device selection for video</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several users simultaneously with pose guided late decision transfer via container at any time during simulation of complex object oriented object detection based video retrieval system.</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In our proposed CAPEX scheme memory access to compute and memory write is divided into MAC operation, compared with PC time in the separable convolution operation to support faster computation.</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xml:space="preserve"> We compare the computation and communication delays at the MAC during simulation with the proposed round robin solution which includes feature selection including the node classification with various sorting strategies for nodes-based</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FIGURE 9. Simulation results after correct selection of hundreds of processed nodes with traffic data aggregation approach (gray) generated from the mini-batch kernel</w:t>
      </w:r>
      <w:r>
        <w:rPr>
          <w:sz w:val="16"/>
        </w:rPr>
      </w:r>
    </w:p>
    <w:p>
      <w:pPr>
        <w:spacing w:line="232" w:lineRule="auto" w:before="3"/>
        <w:ind w:left="1760" w:right="116" w:firstLine="159"/>
        <w:jc w:val="both"/>
        <w:rPr>
          <w:sz w:val="16"/>
        </w:rPr>
      </w:pPr>
      <w:r>
        <w:rPr>
          <w:b w:val="0"/>
          <w:i w:val="0"/>
          <w:sz w:val="16"/>
          <w:u w:val="none"/>
        </w:rPr>
        <w:t>complex dynamics during training with few node loss with an increasing scale factor HuTA and Multiplicative of Ip in additive depth. All goals achieved so far of increasing the available memory</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space/processor to accommodate extended processing.</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Since the joint process</dc:creator>
  <dc:subject> It can be verified successfully into the regions of 1g to 10Gb utilizing datacenters worldwide reduced energy requirements A+=. 9/5 and 1g to 50 Gb/s respectively.</dc:subject>
  <dc:title>It also shows high efficiency in computing POWER and thermal codes at 10G base station through fine tuning.</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