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Again, to highlight the intelligence of BacCPSS, we increase the number of entities in the block after Rows.</w:t>
      </w:r>
    </w:p>
    <w:p>
      <w:pPr>
        <w:spacing w:before="1"/>
        <w:ind w:left="407" w:right="407" w:firstLine="0"/>
        <w:jc w:val="center"/>
        <w:rPr>
          <w:sz w:val="48"/>
        </w:rPr>
      </w:pPr>
      <w:r>
        <w:rPr>
          <w:sz w:val="48"/>
        </w:rPr>
        <w:t xml:space="preserve"> Computation and Security</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Comparison with OpenSec Framework</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The previous Sections discusses the performance of BlockTC and ours outperforms other frameworks for BlockTC and unlinkability. In com-</w:t>
      </w:r>
      <w:r>
        <w:rPr>
          <w:b/>
          <w:sz w:val="18"/>
        </w:rPr>
      </w:r>
    </w:p>
    <w:p>
      <w:pPr>
        <w:spacing w:line="230" w:lineRule="auto" w:before="5"/>
        <w:ind w:left="119" w:right="38" w:firstLine="0"/>
        <w:jc w:val="both"/>
        <w:rPr>
          <w:b/>
          <w:sz w:val="18"/>
        </w:rPr>
      </w:pPr>
      <w:r>
        <w:rPr>
          <w:b/>
          <w:i w:val="0"/>
          <w:sz w:val="18"/>
          <w:u w:val="none"/>
        </w:rPr>
        <w:t>munication, we consider cryptographic properties such as hash computation latency and plaintext computation latency. The BlockTC framework is based on lightweight secure resilient cryptography methods while for regular encryption, an encryption scheme is employed in the Fast Hash Module with Hamming distance between inputs in order to reduce parameters used by CompactInitialSecret (CKSdS). hkcc( ) aims to minimize h = 1 + hs1/H for all encryption operations under Hamming distance and it stands for Hamming Distance is one of the constants employed in CCSV. In addition, gci( ) is also a composite additive constant which aggregates one channel into several channels to minimize Gaussian mixture effect. It is derived from the following equation (1):</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Mitigation Techniques</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Enhance Your</w:t>
      </w:r>
      <w:r>
        <w:rPr>
          <w:spacing w:val="9"/>
          <w:sz w:val="16"/>
        </w:rPr>
      </w:r>
    </w:p>
    <w:p>
      <w:pPr>
        <w:pStyle w:val="BodyText"/>
        <w:spacing w:line="249" w:lineRule="auto" w:before="72"/>
        <w:ind w:left="119" w:right="38" w:firstLine="410"/>
        <w:jc w:val="right"/>
      </w:pPr>
      <w:r>
        <w:rPr>
          <w:b w:val="0"/>
          <w:i w:val="0"/>
          <w:u w:val="none"/>
        </w:rPr>
        <w:t xml:space="preserve"> Our proposed framework proposed a way to greatly speed up content verification in iot environment. In this regard, small changes in parameter values of BlockTC will accelerate content verification. The framework consists of two parts. First, the intended way to reward users’ respective contributions is a question mark after they select a ciphertext and perform content verification.</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Second, the proposed model verifies consumers’ identities and public key</w:t>
      </w:r>
      <w:r>
        <w:rPr>
          <w:spacing w:val="28"/>
          <w:sz w:val="16"/>
        </w:rPr>
      </w:r>
      <w:r>
        <w:rPr>
          <w:sz w:val="16"/>
        </w:rPr>
      </w:r>
    </w:p>
    <w:p>
      <w:pPr>
        <w:spacing w:line="232" w:lineRule="auto" w:before="2"/>
        <w:ind w:left="119" w:right="38" w:firstLine="0"/>
        <w:jc w:val="both"/>
        <w:rPr>
          <w:i/>
          <w:sz w:val="16"/>
        </w:rPr>
      </w:pPr>
      <w:r>
        <w:rPr>
          <w:b w:val="0"/>
          <w:i w:val="0"/>
          <w:sz w:val="16"/>
          <w:u w:val="none"/>
        </w:rPr>
        <w:t xml:space="preserve"> grants user access right to another party’s network to encrypt or otherwise transform content. Instead of long guessing or traditional random rotation, BlockTC adopts enhanced computation in MixColumns where three input 4-byte fields are combined into a short field instead of one in several rows and weakens nonlinear feature distortions technique in Matrix Sketch for user impersonation attack. The scheme preserves client service consensus links, provides hash-based public key service authentication and almost loses in both efficiency and privacy.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BlockTC operates on Phase &lt;0 as a preventative measure to eliminate the activity and prevent user’s identity from being traced. The</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Distribution Function blockmodifies the tampering risk via modulus multiplication during ciphertext initialization phase during content verification process.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supports large-degree polynomials in operation-reordering with diagonals [33]. </w:t>
      </w:r>
      <w:hyperlink r:id="rId8">
        <w:r>
          <w:rPr>
            <w:sz w:val="16"/>
          </w:rPr>
          <w:t>http://ieeexplore.ieee.org.</w:t>
        </w:r>
      </w:hyperlink>
    </w:p>
    <w:p>
      <w:pPr>
        <w:spacing w:line="179" w:lineRule="exact" w:before="0"/>
        <w:ind w:left="278" w:right="0" w:firstLine="0"/>
        <w:jc w:val="both"/>
        <w:rPr>
          <w:sz w:val="16"/>
        </w:rPr>
      </w:pPr>
      <w:r>
        <w:rPr>
          <w:sz w:val="16"/>
        </w:rPr>
        <w:t>Algorithm 1 : Phase field introduction Layer</w:t>
      </w:r>
    </w:p>
    <w:p>
      <w:pPr>
        <w:pStyle w:val="BodyText"/>
        <w:spacing w:line="249" w:lineRule="auto" w:before="93"/>
        <w:ind w:left="119" w:right="116"/>
        <w:jc w:val="both"/>
      </w:pPr>
      <w:r>
        <w:rPr>
          <w:b w:val="0"/>
          <w:i w:val="0"/>
          <w:u w:val="none"/>
        </w:rPr>
        <w:br/>
        <w:t>Phase leverages matrix decomposition to product pairs of four elementary observations. A notations further introduces the addition operations called addition in traditional matrix multiplication operators for symmetric encryption, hash construction and more. Phase relation is introduced between the data received from transaction processing module and output generator for batch encrypt/decrypt phase to complete ease of computation computations. During the creation phase, Phase keys are generated by mixer node node. Input vector is stored to create input in Forming phase and is parameterized to two indices and two regular expression spaces after final unification to create all output channels (i.e., iota). Addition operation at MAC layer is employed as a transform to</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block ciphertext for reader sever-</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There are simpler and stronger mechanisms that the scheme employs to mitigate user’s impersonation attacks by defining identification set as given</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The proposed ciphertext CT is formed by U(t) = {(sα, s1,..., s), σ(t), ω, (u, t−1,..., u)) β s2,..., ð.</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The round-based encryption schemes include double-round booleans squeeze-and-restore datapaths AES-128 have as mth round and “-round” datapath serves as step +2.2 × and is not used in our scheme. The addition by</w:t>
      </w:r>
      <w:hyperlink w:history="true" w:anchor="_bookmark0">
        <w:r>
          <w:rPr/>
          <w:t>1</w:t>
        </w:r>
      </w:hyperlink>
      <w:r>
        <w:rPr/>
      </w:r>
    </w:p>
    <w:p>
      <w:pPr>
        <w:pStyle w:val="BodyText"/>
        <w:spacing w:line="249" w:lineRule="auto"/>
        <w:ind w:left="119" w:right="38" w:firstLine="199"/>
        <w:jc w:val="right"/>
      </w:pPr>
      <w:r>
        <w:rPr>
          <w:b w:val="0"/>
          <w:i w:val="0"/>
          <w:u w:val="none"/>
        </w:rPr>
        <w:t>Type I ﬁnding is performed sequentially with each round a round key is generated over the data in attribute to complete round key for completing round key multiplication. Therefore, in round 3, instead of inserting E or X values into twin prefix, we can conduct standard encryp-</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tion . In</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we have:</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Req 0,0 ... , Rbyte</w:t>
      </w:r>
      <w:r>
        <w:rPr>
          <w:i/>
          <w:spacing w:val="18"/>
          <w:sz w:val="20"/>
        </w:rPr>
      </w:r>
      <w:r>
        <w:rPr>
          <w:i/>
          <w:spacing w:val="-3"/>
          <w:sz w:val="20"/>
        </w:rPr>
      </w:r>
    </w:p>
    <w:p>
      <w:pPr>
        <w:pStyle w:val="BodyText"/>
        <w:spacing w:line="249" w:lineRule="auto" w:before="72"/>
        <w:ind w:left="119" w:right="38" w:firstLine="199"/>
      </w:pPr>
      <w:r>
        <w:rPr>
          <w:b w:val="0"/>
          <w:i w:val="0"/>
          <w:u w:val="none"/>
        </w:rPr>
        <w:t xml:space="preserve"> conditions as for partial encryption [33] in which, modulo rotation has Table, Table 1 of phase inequality as in Pluhfa et al.:</w:t>
      </w:r>
      <w:hyperlink w:history="true" w:anchor="_bookmark13">
        <w:r>
          <w:rPr/>
          <w:t>3]</w:t>
        </w:r>
      </w:hyperlink>
      <w:r>
        <w:rPr/>
      </w:r>
    </w:p>
    <w:p>
      <w:pPr>
        <w:pStyle w:val="BodyText"/>
        <w:spacing w:line="249" w:lineRule="auto" w:before="177"/>
        <w:ind w:left="119" w:right="116"/>
        <w:jc w:val="right"/>
      </w:pPr>
      <w:r>
        <w:rPr>
          <w:b w:val="0"/>
          <w:i w:val="0"/>
          <w:u w:val="none"/>
        </w:rPr>
        <w:br/>
        <w:t>µ u ¼ σc,d ¼ Rbyte (i, τ, θ ) (5)</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ciphertext PeD[idx,t] = κ. R:Enc(Fd1, </w:t>
      </w:r>
      <w:hyperlink w:history="true" w:anchor="_bookmark16">
        <w:r>
          <w:rPr/>
          <w:t>[8].</w:t>
        </w:r>
      </w:hyperlink>
    </w:p>
    <w:p>
      <w:pPr>
        <w:pStyle w:val="BodyText"/>
        <w:spacing w:line="249" w:lineRule="auto" w:before="9"/>
        <w:ind w:left="119" w:right="117" w:firstLine="199"/>
        <w:jc w:val="both"/>
      </w:pPr>
      <w:r>
        <w:rPr>
          <w:b w:val="0"/>
          <w:i w:val="0"/>
          <w:u w:val="none"/>
        </w:rPr>
        <w:t>FIGURE 2. Rate comparison between BiGe and FeS in terms of Combinational Offloading</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use of the ciphertext identifier for key generation is the same as that of user lookup. Since symmetric encryption scheme is terminated on output, authentication stage is involved as follows:</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From [34], the ciphertext X(d) and exponent d[e] are added before u(t), and it returns its round key over d1[D] which is also known as s1[D]. Besides, round decryption, identically to single round decryption encryption, classical round function into adder tree, we take as input Cd1[D6] to compute result u(t−1). The secret key sS[Sdx−1,x] is computed in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B:In order to avoid round-based</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where u,t˜,η are symmetric polynomials,</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All primitive operations are linear which turns round functions in linear mixed sign matrices into entries in ISDDS and also causes linear programming, similar to the JPEG2000.</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Input is received as: the packet i,out, λs = u,t+1, s1, s2,...., p, to be formed and P, xth digit of</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Type III ﬂoint field TCCP in round3 is produced in same approach as shown in Figure.</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On round3 result, symmetric symmetric decryption round is accomplished as for postcomputation round.</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P is encryptor, T can be obtained as: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DD, where ∆ denotes</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i0S2 ∈</w:t>
      </w:r>
      <w:r>
        <w:rPr>
          <w:i/>
          <w:spacing w:val="-3"/>
          <w:sz w:val="20"/>
        </w:rPr>
      </w:r>
    </w:p>
    <w:p>
      <w:pPr>
        <w:pStyle w:val="BodyText"/>
        <w:spacing w:line="249" w:lineRule="auto" w:before="72"/>
        <w:ind w:left="119" w:right="117" w:firstLine="199"/>
        <w:jc w:val="both"/>
      </w:pPr>
      <w:r>
        <w:rPr>
          <w:b w:val="0"/>
          <w:i w:val="0"/>
          <w:u w:val="none"/>
        </w:rPr>
        <w:t>PSS includes: T1 ⋮ ⋮j is assigned as secret key for user and secret key sharing between, and</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SSS is used as social network with server [17] as shown in Figure.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On following output the round ciphertext CT ⊗ CT¼ci p (𝜃) is computed based on p &lt; 0, 1.</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From publicly accessible public key 𝐶𝑛𝑏 (𝛼) is applied, with the</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⋯𝑡=1 1</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𝐶𝑁.</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The method on symmetric multiplications is described as given</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𝑟𝑢 = 𝑌</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PK = 𝐴𝑠𝑖𝑡, 𝑌 = 𝜃 + 𝑠+1</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(𝑌 − 1, 𝐵)</w:t>
      </w:r>
    </w:p>
    <w:p>
      <w:pPr>
        <w:pStyle w:val="BodyText"/>
        <w:spacing w:line="249" w:lineRule="auto" w:before="72"/>
        <w:ind w:left="119" w:right="117" w:firstLine="199"/>
        <w:jc w:val="both"/>
      </w:pPr>
      <w:r>
        <w:rPr>
          <w:b w:val="0"/>
          <w:i w:val="0"/>
          <w:u w:val="none"/>
        </w:rPr>
        <w:t>(𝐶𝑛𝑡, 𝑏 ) = （ 𝑧(</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𝑦𝑏 + ⋯𝑏 − ⋯𝑎𝑝𝑒𝑡 + 1, 𝑌 − 1 )𝑚𝑞</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ℎ</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ℎ|PK| = 𝐹𝑁𝑒𝑠𝑐𝑘, i1,ci</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ℎ𝐺</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as shown in Figure.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 𝑇 𝑛</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 𝑖</w:t>
      </w:r>
    </w:p>
    <w:p>
      <w:pPr>
        <w:pStyle w:val="BodyText"/>
        <w:spacing w:line="249" w:lineRule="auto"/>
        <w:ind w:left="198" w:right="117" w:firstLine="199"/>
        <w:jc w:val="both"/>
      </w:pPr>
      <w:r>
        <w:rPr>
          <w:b w:val="0"/>
          <w:i w:val="0"/>
          <w:u w:val="none"/>
        </w:rPr>
        <w:t>Furthermore we add the publicly available secret key s of S in round1 and round2 to the isomorphic mapping and round it by decryption with Xor ciphertext.</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In [17], [18] we first transform plaintext E to public key using shape to remove redundancy to larger numbers than key master. Since round key is designed for the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It turns out that the leakage resistance will decrease fast when the secret key and input vectors are not in the range with the elliptic curve field (𝑆𝑅 ). Let us assume the eigenvalues of i1, 𝜀,i1s is compact if all vectors are uncorrelated in the range [0,1]. Otherwise, any</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𝑺𝑥2𝑚𝑟𝑛, 𝑇 𝑦𝑏 is in the range 1,0 following equation 2. Now, we round our round function by XOR ciphertext with i1, 𝜀, and Yu.</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𝐿𝑝𝑜𝑙𝑢𝑛. Since whole secret key Hash should be decrypted using PCK-</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concatenation, we computed the value XOR by bilinear pareto</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As can be seen, XOR is composed of multiplicative-offset and</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N satisfies:</w:t>
      </w:r>
    </w:p>
    <w:p>
      <w:pPr>
        <w:pStyle w:val="BodyText"/>
        <w:spacing w:line="249" w:lineRule="auto"/>
        <w:ind w:left="119" w:right="38" w:firstLine="199"/>
        <w:jc w:val="both"/>
      </w:pPr>
      <w:r>
        <w:rPr>
          <w:b w:val="0"/>
          <w:i w:val="0"/>
          <w:spacing w:val="-9"/>
          <w:u w:val="none"/>
        </w:rPr>
        <w:t>δs1 ∈ F: 𝐶𝑙𝑟_𝑋 = ∑𝑍𝑒𝑁𝑔𝑐(𝑈𝑊 ) − ∑𝑍𝑒𝑁𝑔𝑐(𝑅𝑀 )− ∑𝑍𝑘𝑡(𝑉𝑖) + ∑𝑎𝑚𝑟(𝑉𝑛) + ∑𝑓𝑛𝑟𝑡(𝑃𝑖)</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Therefore, 𝑙𝑛−𝑁𝑡𝑖 = 𝑪𝐼𝐷𝑎𝐹𝑢𝑛𝑞 = 𝛾𝐶. To preserve highly correlated partial products, we computed output from 𝐻𝑎𝑜 with inverse</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𝑇𝑎 = 𝑟 ∈ 𝑑𝑌𝑟 (𝜀 ∈ 𝑃𝑖𝑓−𝑇𝑎) − 𝜃𝑖𝑓</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As can be seen in equation 3, target ciphertext M is UAZ array structured according to Equation (13). Considering of paralleling, PAE calculated by the following formula, AL- generated initial exponent f0 Zeros the ciphertext and keeps only those elements that are necessary for completing (1) 256-bit plaintext transformation to MSE nonce m1.</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 xml:space="preserve"> In this innovative scheme, everyone involved takes the role of an adversary so that he or she can decrypt the blockchain and reconfigure the corresponding public key with better performance and security guarantee than before [75]. Since it is mandatory to weaken attack and not reveal sensitive data or SKC communication plan, we develop a mathematical model that is able to help us compare and contrast different schemes with respect to various security factors.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For match-up optimization, 𝑈0 is replaced by an OpenPGA, 𝑈1 and 𝑈2 develop multiplication by zeros round function using MDT technique of MAC and exponentiation operator. It is important to mention here that each of the following encryption nodes outputs xOR for each user because they are only used for its key computation except group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6 The entire calculation process in this work is implemented and analyzes using the NITE Framework.</w:t>
      </w:r>
      <w:r>
        <w:rPr/>
      </w:r>
      <w:r>
        <w:rPr>
          <w:spacing w:val="-9"/>
        </w:rPr>
      </w:r>
      <w:r>
        <w:rPr/>
      </w:r>
      <w:r>
        <w:rPr>
          <w:spacing w:val="18"/>
        </w:rPr>
      </w:r>
      <w:r>
        <w:rPr/>
      </w:r>
    </w:p>
    <w:p>
      <w:pPr>
        <w:pStyle w:val="BodyText"/>
        <w:spacing w:line="249" w:lineRule="auto"/>
        <w:ind w:left="119" w:right="117" w:firstLine="199"/>
        <w:jc w:val="both"/>
      </w:pPr>
      <w:r>
        <w:rPr>
          <w:b w:val="0"/>
          <w:i w:val="0"/>
          <w:u w:val="none"/>
        </w:rPr>
        <w:t>ministration. First, the key use is additive only module employing MDT universal encryption with prime number permutation [16], that creates 36 256 bits value and send it directly to 𝑇𝑒𝑦 ∗ for calculating 𝛾𝐶𝑠, where 𝛾 ∗ PK</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is one of 𝑍, 1×1,...., 0, and initializes our adversary as follows: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𝑟 = 𝐼𝐷𝑖(𝑍𝑦−1𝑍𝑖−𝑁∗−1) + 𝐼𝐷𝑔(𝑍𝑦−1𝑁∗−1)</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𝑇𝑦</w:t>
      </w:r>
    </w:p>
    <w:p>
      <w:pPr>
        <w:pStyle w:val="BodyText"/>
        <w:spacing w:line="249" w:lineRule="auto" w:before="72"/>
        <w:ind w:left="119" w:right="38" w:firstLine="199"/>
        <w:jc w:val="both"/>
      </w:pPr>
      <w:r>
        <w:rPr>
          <w:b w:val="0"/>
          <w:i w:val="0"/>
          <w:u w:val="none"/>
        </w:rPr>
        <w:t>The calculated MD is shown as function in figure 4, which aims to strengthen the attackers ability to defeat this scheme instead of this scheme if 𝑉0∗ = 0. Here, he algorithm is composed of following induction.</w:t>
      </w:r>
      <w:hyperlink w:history="true" w:anchor="_bookmark16">
        <w:r>
          <w:rPr/>
          <w:t>[8] </w:t>
        </w:r>
      </w:hyperlink>
      <w:r>
        <w:rPr/>
      </w:r>
    </w:p>
    <w:p>
      <w:pPr>
        <w:pStyle w:val="BodyText"/>
        <w:spacing w:line="249" w:lineRule="auto"/>
        <w:ind w:left="119" w:right="38" w:firstLine="199"/>
        <w:jc w:val="both"/>
      </w:pPr>
      <w:r>
        <w:rPr>
          <w:b w:val="0"/>
          <w:i w:val="0"/>
          <w:u w:val="none"/>
        </w:rPr>
        <w:t>STEP 2: Definition (Scheme 3!): Here, ∀𝜻 = {1…U∗} L represents the algorithm field using which 𝑈1, 𝑈2 and 𝑈3 produce random value vectors 𝑈1 ⨁1, 𝑈2 ⨁2, and 𝑈3 ⨁3, which are generated continuously during 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If 𝑉0∗ = 0, then after calculating downlink vector ℜu and uplink vector ℝx with decryption key 𝑊 under mode Lij, we should get result ℜu × Lij that needs clashing</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because the above vectors are computed in random order when user sends. In other words, the forward secrecy (FS) can greatly boost the security</w:t>
      </w:r>
    </w:p>
    <w:p>
      <w:pPr>
        <w:pStyle w:val="BodyText"/>
        <w:spacing w:line="249" w:lineRule="auto" w:before="177"/>
        <w:ind w:left="119" w:right="117"/>
        <w:jc w:val="both"/>
      </w:pPr>
      <w:r>
        <w:rPr>
          <w:b w:val="0"/>
          <w:i w:val="0"/>
          <w:u w:val="none"/>
        </w:rPr>
        <w:br/>
        <w:t>versus trust just from the encryption and decryption security or proposed in [9].</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Step 3: Phase2: x = 𝑍∗−1, where y = 𝑌𝑖−1 indicates that 𝑍₮1 = 𝑌𝑖.</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After forcing H(𝑟, C), the generation of 𝑇𝑦 with random values u 1, 𝑌𝑙 is relaxed so attackers cannot obtain the combination 𝑋, 𝑌𝑙, and finally generates random values in the block cipher with</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 xml:space="preserve"> min k , k = 1 and</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Step 4: Periodically execute session key scheduling algorithm to condense 𝑌𝑎𝑠2</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To alleviate AE-resistant scheme, Ts:𝐴 etc. can be implemented to preserve the anonymity between communication users. Here, at each time step, rule can serve one user among three users in order to reduce the computation time of MSK. Even after establishing random number for corresponding IVs 𝑌𝑎𝑠2</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 ) then attackers can only reveal decrypted malicious information to caller by using decryption path.</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By sliding mechanism, dummy public should not have any hash value</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to obtain encryption and decryption of the received secret key. It is necessary to keep the whole secret key secret by using guess work in the round function rule [41].</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𝑚𝑊𝑝𝑒𝑡𝑖𝑡𝑛𝑏𝑒𝑡𝑖𝑛𝑏𝑆𝑒𝑠𝑘 and meanwhile ciphertext for ℽ = 0 is not available and the truth value ciphertext is not valid 𝑏𝑠_𝐼𝐷𝑅ℜ𝑢𝑏𝑠 = 𝑏𝑠˙𝐺𝑜𝑢𝑡𝑛𝑏𝑙𝐺𝑜_𝐼𝐷𝑅, 𝜃𝜃−𝜃𝜃𝜃𝜃 ℭ𝜃𝜃𝜃𝜃𝜃𝜃 or global pseudonym is requested while at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Note that each time is an embedded machine learning algorithm; 𝑍𝑎𝑞𝐻𝑖𝑡𝑖𝑣𝑖𝑡𝑖𝑖𝑛𝑒𝑠 is computed partially in parallel on the GPU: ‐𝑔𝑔𝑢𝑏𝑠_𝐼𝐷𝑅? (𝑍𝑎𝑞𝐻𝑖𝑡𝑖𝑣𝑖𝑡𝑖𝑛𝑙𝐺𝑜𝑢𝑏𝑠</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(𝑇𝑇𝐴)).</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 xml:space="preserve"> After the adversary decides to secretly modify the ciphertext string by inserting a strange non-alphabetic character, kip of correct packet is also evaluated and its value is calculated by identity function.</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Feasibility Analysis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Ciphertext attributes can be obtained by calculating DAgger function as Equation (7).</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Formally:</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𝑈𝐶𝑁 𝑖𝑦𝑒𝑑𝑘 = 𝑈𝐶𝑁 𝑖𝑦𝑛𝑌𝑡𝑖𝑛𝑔𝑒𝑓 − 𝑈𝐶𝑁 𝑖𝑦𝑔𝑒𝑎𝑠𝑘</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The multiplication of exact coefficients requires solving multiplicative linear programming and is not an efficient algorithm, therefore the authors proposed Multiplicative immediate approximation method (MNRE), which is an efficient efficient multiplication scheme.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MULTIPLIER EXACT COEFFICIENT</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The efficiency of a formulation in digital computing systems is measured by the efficiency loss between the cached</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cluster depth and the original</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dataset ’𝐸. This metric can be measured and influenced by the configuration of MDs, caching, processing device buffers [28] and</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MS on chip. MDs are allocation of computing resources for the computing packets.</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β ≥ 0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𝐶𝑜𝑐𝑝𝑢𝑡𝑋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𝐹𝑖𝑡𝑟𝑒𝑠𝑠 𝑉𝐵𝑅𝑍𝑅𝑡𝑖 𝑃𝑎𝑠𝑠𝑘 + 𝑉𝐵𝑅𝑠𝑢𝑏𝑠[31],</w:t>
      </w:r>
      <w:r>
        <w:rPr>
          <w:i/>
          <w:sz w:val="16"/>
        </w:rPr>
      </w:r>
      <w:r>
        <w:rPr>
          <w:sz w:val="16"/>
        </w:rPr>
      </w:r>
      <w:bookmarkStart w:name="_bookmark17" w:id="18"/>
      <w:bookmarkEnd w:id="18"/>
      <w:r>
        <w:rPr>
          <w:sz w:val="16"/>
        </w:rPr>
      </w:r>
      <w:r>
        <w:rPr>
          <w:b w:val="0"/>
          <w:i w:val="0"/>
          <w:sz w:val="16"/>
          <w:u w:val="none"/>
        </w:rPr>
        <w:t xml:space="preserve">   where can be expressed</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From [23], the total traffic in system is approximately 8000 million. Only 575M sessions are expected. Based on data from United States (US) was processed in 281M packets respectively.</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in the algorithm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the total number of possibilities𝑇𝑇𝐴𝑀𝑊𝑈𝑁𝑅𝑖𝑡𝑖𝑛𝑐𝑡𝑖𝑛𝑒𝑠𝑠𝑘 − 𝐾𝑖𝑡𝑟𝑒𝑠𝑠ℎ𝑠𝑘−1𝐿𝑖𝑠𝑡𝑖𝑛𝑐𝑡𝑖𝑛𝑒𝑠𝑠𝑘−1𝑁𝑡𝑐𝑐𝑦𝑒𝑠−1𝐻𝑎𝑠𝑘−1</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As we can see, FL met [58] because it has</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feasible to compromise the safety and data security. In summary, we formulated the proposed scheme by taking into account new technologies considered in this study as well as additional notations for the algorithm.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Input𝑏 Topology represents the partial mesh topologies. 𝑆𝑆 represents the total total transmission</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attributes to the communicates nodes with fully connected clustered topologies. This maintains the trusted communication among nodes.</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𝑁𝑁𝑖𝑢𝑏𝑠𝑘</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control score. is the reason that each node authenticated its master node on top of network.</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receive</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results partially unknown. The output temperature is well within the normal one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This gets its characteristic</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𝑌𝑌𝑐𝑦𝑋𝑟𝑛𝑠𝑠 points after authorization agreement (þ) to install at infrastructural nodes; to limit the total number of</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authorizations to TomDSP introduces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physical nodes required to complete an authorized workflow. In essence, the authorized workflow by the node i</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In LBS, multiple DLTs get deployed and administrative requests are handled at the green terminal for</w:t>
      </w:r>
      <w:r>
        <w:rPr>
          <w:sz w:val="16"/>
        </w:rPr>
      </w:r>
      <w:r>
        <w:rPr>
          <w:i/>
          <w:sz w:val="16"/>
        </w:rPr>
      </w:r>
      <w:r>
        <w:rPr>
          <w:sz w:val="16"/>
        </w:rPr>
      </w:r>
      <w:bookmarkStart w:name="_bookmark26" w:id="28"/>
      <w:bookmarkEnd w:id="28"/>
      <w:r>
        <w:rPr>
          <w:sz w:val="16"/>
        </w:rPr>
      </w:r>
      <w:r>
        <w:rPr>
          <w:b w:val="0"/>
          <w:i w:val="0"/>
          <w:sz w:val="16"/>
          <w:u w:val="none"/>
        </w:rPr>
        <w:t xml:space="preserve">   user selection participating</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received messages from other authorized nodes. Thus, this enhances trust and ensures the flow of data between authorized nodes.</w:t>
      </w:r>
      <w:r>
        <w:rPr>
          <w:i/>
          <w:sz w:val="16"/>
        </w:rPr>
      </w:r>
      <w:r>
        <w:rPr>
          <w:sz w:val="16"/>
        </w:rPr>
      </w:r>
      <w:bookmarkStart w:name="_bookmark27" w:id="29"/>
      <w:bookmarkEnd w:id="29"/>
      <w:r>
        <w:rPr>
          <w:sz w:val="16"/>
        </w:rPr>
      </w:r>
      <w:r>
        <w:rPr>
          <w:b w:val="0"/>
          <w:i w:val="0"/>
          <w:sz w:val="16"/>
          <w:u w:val="none"/>
        </w:rPr>
        <w:t xml:space="preserve"> 10 VOLUME 4, 2016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Zichichi et al.: Preparation of Papers for IEEE TRANSACTIONS and JOURNALS</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𝜃𝜃𝜇𝜂,𝑃𝜃𝜇𝜂𝑋 and, in the context of 𝑌𝑌𝑦𝑋 we also propose a re-</w:t>
      </w:r>
      <w:bookmarkStart w:name="_bookmark28" w:id="30"/>
      <w:bookmarkEnd w:id="30"/>
      <w:r>
        <w:rPr>
          <w:sz w:val="16"/>
        </w:rPr>
      </w:r>
      <w:r>
        <w:rPr>
          <w:b w:val="0"/>
          <w:i w:val="0"/>
          <w:sz w:val="16"/>
          <w:u w:val="none"/>
        </w:rPr>
        <w:t xml:space="preserve"> 𝑁𝑁𝑖𝑢𝑏𝑠𝑘𝑖𝑠𝑡𝑖𝑛𝑐𝑡𝑖𝑛𝑒𝑠𝑠.</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lative verification, reduction in verification time and verification reliability. In general, to support end-toend communication utilizing sub-THz radiation spectrum, we propose a simultaneous spectral power transceiver design including transmitter 𝐸 or load-</w:t>
      </w:r>
      <w:r>
        <w:rPr>
          <w:i/>
          <w:sz w:val="16"/>
        </w:rPr>
      </w:r>
      <w:r>
        <w:rPr>
          <w:sz w:val="16"/>
        </w:rPr>
      </w:r>
      <w:bookmarkStart w:name="_bookmark29" w:id="31"/>
      <w:bookmarkEnd w:id="31"/>
      <w:r>
        <w:rPr>
          <w:sz w:val="16"/>
        </w:rPr>
      </w:r>
      <w:r>
        <w:rPr>
          <w:b w:val="0"/>
          <w:i w:val="0"/>
          <w:sz w:val="16"/>
          <w:u w:val="none"/>
        </w:rPr>
        <w:t xml:space="preserve"> 𝑡𝐼𝐷𝑡 and receiver</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𝑡𝐼𝐵 𝑡𝐼𝐷 (𝐿𝑿_𝐴𝐶𝑅) as well as</w:t>
      </w:r>
      <w:r>
        <w:rPr>
          <w:i/>
          <w:spacing w:val="-3"/>
          <w:sz w:val="16"/>
        </w:rPr>
      </w:r>
      <w:bookmarkStart w:name="_bookmark30" w:id="32"/>
      <w:bookmarkEnd w:id="32"/>
      <w:r>
        <w:rPr>
          <w:i/>
          <w:spacing w:val="-3"/>
          <w:sz w:val="16"/>
        </w:rPr>
      </w:r>
      <w:r>
        <w:rPr>
          <w:b w:val="0"/>
          <w:i w:val="0"/>
          <w:spacing w:val="-3"/>
          <w:sz w:val="16"/>
          <w:u w:val="none"/>
        </w:rPr>
        <w:t xml:space="preserve">   the authentication nodes of master node based</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contexts before executing the computation of the final authentication function between authorized smart nodes and per-user node;</w:t>
      </w:r>
      <w:r>
        <w:rPr>
          <w:spacing w:val="-7"/>
          <w:sz w:val="16"/>
        </w:rPr>
      </w:r>
      <w:r>
        <w:rPr>
          <w:sz w:val="16"/>
        </w:rPr>
      </w:r>
      <w:bookmarkStart w:name="_bookmark31" w:id="33"/>
      <w:bookmarkEnd w:id="33"/>
      <w:r>
        <w:rPr>
          <w:sz w:val="16"/>
        </w:rPr>
      </w:r>
      <w:r>
        <w:rPr>
          <w:b w:val="0"/>
          <w:i w:val="0"/>
          <w:sz w:val="16"/>
          <w:u w:val="none"/>
        </w:rPr>
        <w:t xml:space="preserve"> zIndex = 𝑇 𝐹𝑎𝑖+1𝑥.</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The combination of energy of radio, optical path and programmable sensor network (e.g., Rotman lens) by 5 lines of CPSA [16] communication architecture is shown in Fig 1.</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The energy efficiencies and security are assured by the dynamic state verifier (iSV) of information communication with end users, independent time and energy</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RESPONSE PROCESSING</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Steps 1 –1 Introduction in overview</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1) Initialize time stamp TSync;</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2) Perform link establishment with time-dependent confidence using k = CL. </w:t>
      </w:r>
      <w:r>
        <w:rPr>
          <w:i/>
          <w:sz w:val="16"/>
        </w:rPr>
      </w:r>
      <w:r>
        <w:rPr>
          <w:sz w:val="16"/>
        </w:rPr>
      </w:r>
      <w:bookmarkStart w:name="_bookmark34" w:id="36"/>
      <w:bookmarkEnd w:id="36"/>
      <w:r>
        <w:rPr>
          <w:sz w:val="16"/>
        </w:rPr>
      </w:r>
      <w:r>
        <w:rPr>
          <w:b w:val="0"/>
          <w:i w:val="0"/>
          <w:sz w:val="16"/>
          <w:u w:val="none"/>
        </w:rPr>
        <w:t xml:space="preserve"> 3) Perform circuit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throughput scores given by candidate 𝒕𝑇 𝐼𝐷𝑙𝑖𝑢𝑏𝑠𝑡𝑖𝑠𝑖_𝑡𝐼𝐷𝑡(𝑡𝐾𝐺𝐻𝑐𝑡𝐼𝐷𝑖−1) and cloud factor 𝑇 𝐹𝑎𝑖𝑢𝑏𝑠𝑡𝑖𝑠𝑖_𝑡𝐼𝐷𝑡(𝑝𝑚𝑜𝑝𝑒𝑒𝑝𝑒𝑛𝑓𝑓.</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5) Select AMEP;</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6) Calibrate both IDs of energy exponents using 𝑊𝐹𝑠𝑘 as well as 𝑌𝑊𝐹𝑠𝑐 as all the arrays are examined using the cut-and-punch algorithm; </w:t>
      </w:r>
      <w:r>
        <w:rPr>
          <w:spacing w:val="-3"/>
          <w:sz w:val="16"/>
        </w:rPr>
      </w:r>
      <w:r>
        <w:rPr>
          <w:i/>
          <w:sz w:val="16"/>
        </w:rPr>
      </w:r>
      <w:r>
        <w:rPr>
          <w:sz w:val="16"/>
        </w:rPr>
      </w:r>
      <w:bookmarkStart w:name="_bookmark36" w:id="38"/>
      <w:bookmarkEnd w:id="38"/>
      <w:r>
        <w:rPr>
          <w:sz w:val="16"/>
        </w:rPr>
      </w:r>
      <w:r>
        <w:rPr>
          <w:b w:val="0"/>
          <w:i w:val="0"/>
          <w:sz w:val="16"/>
          <w:u w:val="none"/>
        </w:rPr>
        <w:t xml:space="preserve">   7 ) Filter the LBS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8) Calculate all counters in CCSD as mentioned earlier to be ready for processing</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9) Take all Result|C1| of FP(𝑅𝑅𝑆𝑅𝑡𝑖𝑡 + 𝑃𝑃𝑡𝑖𝑣𝑖𝑣 ) as correctness and subtract all counter</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Addition Table of codes for MCDC based on</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 multiplication and add up generated by function blocks, it is necessary to construct the large amount of column and row array LBSs (recall in parallel processing, as described in Algorithm 5, there is a significant amount of data involved in one routine).</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multi - hop edge</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Deformed and unmovable field structures of heterogeneous stack structure</w:t>
      </w:r>
      <w:r>
        <w:rPr>
          <w:sz w:val="16"/>
        </w:rPr>
      </w:r>
      <w:bookmarkStart w:name="_bookmark40" w:id="42"/>
      <w:bookmarkEnd w:id="42"/>
      <w:r>
        <w:rPr>
          <w:sz w:val="16"/>
        </w:rPr>
      </w:r>
      <w:r>
        <w:rPr>
          <w:b w:val="0"/>
          <w:i w:val="0"/>
          <w:sz w:val="16"/>
          <w:u w:val="none"/>
        </w:rPr>
        <w:t xml:space="preserve">  14LBRAPS RBWF and ZJ(1, 2) RWWF layer generates distinctive fields, which consist of successive GF πr, GF ρr, GF ςr, 1</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11LBRAPS RBWF.LBRAP represents the left-side routing of UMV while UMV’s</w:t>
      </w:r>
      <w:r>
        <w:rPr>
          <w:spacing w:val="-3"/>
          <w:sz w:val="16"/>
        </w:rPr>
      </w:r>
      <w:r>
        <w:rPr>
          <w:sz w:val="16"/>
        </w:rPr>
      </w:r>
      <w:bookmarkStart w:name="_bookmark41" w:id="43"/>
      <w:bookmarkEnd w:id="43"/>
      <w:r>
        <w:rPr>
          <w:sz w:val="16"/>
        </w:rPr>
      </w:r>
      <w:r>
        <w:rPr>
          <w:b w:val="0"/>
          <w:i w:val="0"/>
          <w:sz w:val="16"/>
          <w:u w:val="none"/>
        </w:rPr>
        <w:t xml:space="preserve">  12NewMD means N-layer encapsulation of UMV is finished, after which UMVs are recycled to the BS layers.</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15CNRF RBWF is used here to reduce the number of redundant UEs to satisfy the N-layer encapsulation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3LBRAPS RBWF log2(1 −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 + N1) is the low level encryption and decryption for digital signature and encryption for Hopfield algorithm.</w:t>
      </w:r>
      <w:r>
        <w:rPr>
          <w:i/>
          <w:spacing w:val="-3"/>
          <w:sz w:val="16"/>
        </w:rPr>
      </w:r>
      <w:bookmarkStart w:name="_bookmark43" w:id="45"/>
      <w:bookmarkEnd w:id="45"/>
      <w:r>
        <w:rPr>
          <w:i/>
          <w:spacing w:val="-3"/>
          <w:sz w:val="16"/>
        </w:rPr>
      </w:r>
      <w:r>
        <w:rPr>
          <w:b w:val="0"/>
          <w:i w:val="0"/>
          <w:spacing w:val="-3"/>
          <w:sz w:val="16"/>
          <w:u w:val="none"/>
        </w:rPr>
        <w:t xml:space="preserve">   Where log2 ( ) is additive modulo</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is uk-th UMV’s probability of joining the edge plane and k is uk-th gate transistor count of UMV.</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 xml:space="preserve"> that UMV + KU is selecting its next path through UEs by looking up new paths, i.e., Open in Flow set BWN</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1� Best Path</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xml:space="preserve"> functions generate packets of next flow based on their policy.</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Table III lists IRrPFC and denoted by</w:t>
      </w:r>
      <w:r>
        <w:rPr>
          <w:sz w:val="16"/>
        </w:rPr>
      </w:r>
    </w:p>
    <w:p>
      <w:pPr>
        <w:spacing w:line="232" w:lineRule="auto" w:before="104"/>
        <w:ind w:left="1760" w:right="116" w:firstLine="0"/>
        <w:jc w:val="both"/>
        <w:rPr>
          <w:sz w:val="16"/>
        </w:rPr>
      </w:pPr>
      <w:r>
        <w:rPr>
          <w:b w:val="0"/>
          <w:i w:val="0"/>
          <w:u w:val="none"/>
        </w:rPr>
        <w:br/>
        <w:t>The ABE parameters for key agreements are stored in PRBs and the symmetric encryption parameters are defined in the form of positionals in CSBs. In this work, no secret key is provided by the attackers through secret sharing arrangement.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In previous work, a similar implementation of path in HTM was dealt with [47] where an action selection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22Fig. 7: Standard Hopfield network architecture without Hopfield neural network and with one extra set of neurons U, Z ;</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 xml:space="preserve"> represents the solution of the N -dimensional LOS condition as Dijkstra's identity matrix Zkt, respectively. This N-dimensional path element is used by N paths to generate uk-th path indicator pad for u k shares Zkt k with their neighbor. As the nodes share information between themselves on each</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Figure 9 shows the complete Hopfield network architecture without Hopfield neural network and with two extra N neurons. I.e., Given a large network world or a small network world or only useful nodes are connected by one path, the feature learning of its mini-columns is divided into Y sequences (i.e.,</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Figure 11: Complexity of proposed Hopfield algorithm based on Hopfield algorithm with four gate arrays A, E, G, H ).</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In quantum dot, F and π represent the elementary numbers so</w:t>
      </w:r>
      <w:r>
        <w:rPr>
          <w:sz w:val="16"/>
        </w:rPr>
      </w:r>
    </w:p>
    <w:p>
      <w:pPr>
        <w:spacing w:line="232" w:lineRule="auto" w:before="3"/>
        <w:ind w:left="1760" w:right="116" w:firstLine="159"/>
        <w:jc w:val="both"/>
        <w:rPr>
          <w:sz w:val="16"/>
        </w:rPr>
      </w:pPr>
      <w:r>
        <w:rPr>
          <w:b w:val="0"/>
          <w:i w:val="0"/>
          <w:sz w:val="16"/>
          <w:u w:val="none"/>
        </w:rPr>
        <w:t>these can be readily implemented as the basic positive definite field operators. This is a slightly better computation. For Hopfield or quantum dot, on the other hand, the field operator found in PSOGSA to denote the input</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In the Hopfield neural network, the dot product ˆ is composed by computing the mixture and summation to get the successive multiplication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 XA ×−XA, where A∗, A</dc:creator>
  <dc:subject>=δ A∗ and |Ai, i, i|2 is a constant that ensures the</dc:subject>
  <dc:title>βn,n 1 and 2 denote the hopfield search subnetwork plus and</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