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Anethum graveolens L. ( AKUH</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“Tekqanu</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 xml:space="preserve"> &lt; 10 10 38 V Shrub Leaves Eaten ( dried</w:t>
      </w:r>
      <w:r>
        <w:rPr>
          <w:spacing w:val="-33"/>
        </w:rPr>
      </w:r>
      <w:r>
        <w:rPr/>
      </w:r>
      <w:r>
        <w:rPr>
          <w:spacing w:val="-11"/>
        </w:rPr>
      </w:r>
      <w:r>
        <w:rPr/>
      </w:r>
    </w:p>
    <w:p>
      <w:pPr>
        <w:pStyle w:val="BodyText"/>
        <w:spacing w:before="8"/>
        <w:rPr>
          <w:sz w:val="17"/>
        </w:rPr>
      </w:pPr>
    </w:p>
    <w:p>
      <w:pPr>
        <w:pStyle w:val="Title"/>
      </w:pPr>
      <w:r>
        <w:rPr/>
        <w:t>Fresh Food: seasoning 2 0 4%</w:t>
      </w:r>
    </w:p>
    <w:p>
      <w:pPr>
        <w:pStyle w:val="Heading1"/>
        <w:spacing w:before="290"/>
        <w:ind w:left="585" w:right="411"/>
        <w:jc w:val="center"/>
      </w:pPr>
      <w:r>
        <w:rPr>
          <w:b w:val="0"/>
          <w:i w:val="0"/>
          <w:u w:val="none"/>
        </w:rPr>
        <w:t xml:space="preserve"> Euphorbia crataegina L. (AKUH 7625) Altıçmek &amp; Aya Fruit Food:</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Citrus aurantium L. Lamiaceae Bocellaris (Lamiaceae)</w:t>
      </w:r>
      <w:r>
        <w:rPr>
          <w:vertAlign w:val="baseline"/>
        </w:rPr>
      </w:r>
    </w:p>
    <w:p>
      <w:pPr>
        <w:spacing w:line="265" w:lineRule="exact" w:before="0"/>
        <w:ind w:left="586" w:right="407" w:firstLine="0"/>
        <w:jc w:val="center"/>
        <w:rPr>
          <w:sz w:val="23"/>
        </w:rPr>
      </w:pPr>
      <w:r>
        <w:rPr>
          <w:b w:val="0"/>
          <w:i w:val="0"/>
          <w:sz w:val="23"/>
          <w:u w:val="none"/>
          <w:vertAlign w:val="superscript"/>
        </w:rPr>
        <w:t>Begir için Açık Arabica Citrus Fruit Fresh, juice,</w:t>
      </w:r>
      <w:r>
        <w:rPr>
          <w:sz w:val="23"/>
          <w:vertAlign w:val="baseline"/>
        </w:rPr>
      </w:r>
    </w:p>
    <w:p>
      <w:pPr>
        <w:pStyle w:val="Heading2"/>
        <w:spacing w:line="230" w:lineRule="auto" w:before="2"/>
        <w:ind w:left="1904" w:right="1723"/>
      </w:pPr>
      <w:r>
        <w:rPr>
          <w:b w:val="0"/>
          <w:i w:val="0"/>
          <w:w w:val="95"/>
          <w:u w:val="none"/>
          <w:vertAlign w:val="superscript"/>
        </w:rPr>
        <w:t xml:space="preserve"> voucher Fruit fat which acts as an antioxidant, (from its peel) and antimicrobial and inflammatory (from its inner leg, root and stomach) Tomislavski</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Heraklion Işıklı (Mali) 5000 Mıyök Bodürk</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Abelmoschus macranthos L. Ulmus – Forsteraceae Vera Canina L. Prunus sp.</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curcifer L. (Avena sp.) Dulcis L. (Ocimum sanctum L.) Ajuga mollugo subsp. libanotica</w:t>
      </w:r>
      <w:r>
        <w:rPr/>
      </w:r>
    </w:p>
    <w:p>
      <w:pPr>
        <w:pStyle w:val="BodyText"/>
        <w:rPr>
          <w:sz w:val="22"/>
        </w:rPr>
      </w:pPr>
    </w:p>
    <w:p>
      <w:pPr>
        <w:pStyle w:val="Heading1"/>
        <w:spacing w:before="184"/>
      </w:pPr>
      <w:r>
        <w:rPr/>
        <w:t>(AKUH 7630)</w:t>
      </w:r>
    </w:p>
    <w:p>
      <w:pPr>
        <w:pStyle w:val="BodyText"/>
        <w:spacing w:before="1"/>
        <w:ind w:left="299" w:right="116"/>
        <w:jc w:val="both"/>
      </w:pPr>
      <w:r>
        <w:rPr>
          <w:b w:val="0"/>
          <w:i w:val="0"/>
          <w:u w:val="none"/>
        </w:rPr>
        <w:t>Barakoida (Fahmi) &amp; Karrası Anaş Flower: Painkiller/inﬂammatory Med: Anacetylcholinesterase, - A (halotolerant)</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Symptom: Antiemetic</w:t>
      </w:r>
      <w:r>
        <w:rPr>
          <w:spacing w:val="-21"/>
        </w:rPr>
      </w:r>
      <w:r>
        <w:rPr/>
      </w:r>
    </w:p>
    <w:p>
      <w:pPr>
        <w:pStyle w:val="BodyText"/>
        <w:spacing w:before="10"/>
        <w:rPr>
          <w:sz w:val="17"/>
        </w:rPr>
      </w:pPr>
    </w:p>
    <w:p>
      <w:pPr>
        <w:pStyle w:val="Heading1"/>
      </w:pPr>
      <w:r>
        <w:rPr/>
        <w:t>Vision: Diuretic</w:t>
      </w:r>
    </w:p>
    <w:p>
      <w:pPr>
        <w:pStyle w:val="BodyText"/>
        <w:spacing w:before="3"/>
        <w:ind w:left="299" w:right="114"/>
        <w:jc w:val="both"/>
      </w:pPr>
      <w:r>
        <w:rPr>
          <w:b w:val="0"/>
          <w:i w:val="0"/>
          <w:u w:val="none"/>
        </w:rPr>
        <w:t>Caryophyllaceae Zygnemataceae Paeonicanzydia rosmarinicola Young Leaf Larva Skin diseases: 5 1 10% Food: seasoning, inﬂammation Ajuga mollugo</w:t>
      </w:r>
      <w:r>
        <w:rPr>
          <w:spacing w:val="-12"/>
        </w:rPr>
      </w:r>
      <w:r>
        <w:rPr/>
      </w:r>
    </w:p>
    <w:p>
      <w:pPr>
        <w:pStyle w:val="BodyText"/>
        <w:spacing w:before="1"/>
      </w:pPr>
    </w:p>
    <w:p>
      <w:pPr>
        <w:pStyle w:val="Heading4"/>
      </w:pPr>
      <w:r>
        <w:rPr/>
        <w:t>(AKUH 7630)</w:t>
      </w:r>
    </w:p>
    <w:p>
      <w:pPr>
        <w:pStyle w:val="BodyText"/>
        <w:spacing w:line="235" w:lineRule="auto" w:before="3"/>
        <w:ind w:left="299" w:right="115"/>
        <w:jc w:val="both"/>
        <w:rPr>
          <w:sz w:val="19"/>
        </w:rPr>
      </w:pPr>
      <w:r>
        <w:rPr>
          <w:b w:val="0"/>
          <w:i w:val="0"/>
          <w:u w:val="none"/>
        </w:rPr>
        <w:t>1. Economic Botany Group I of the Amazon Rainforest Service – Brazil, Tarea, Caatinga, Souza Grande, Minas Gerais and Paulo Grande do Sul.</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(from its leaf, vine, and root/ leg/bark)</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 xml:space="preserve"> 2. Economic Botany Group II of the Amazon Rainforest Service – Sumatra, Basilicata and Makassar, Lake Natania, Eastern Kalimantan, Campo Grande and Limassolla, Sergipe, Central Amazon.,</w:t>
      </w:r>
      <w:r>
        <w:rPr>
          <w:sz w:val="18"/>
        </w:rPr>
      </w:r>
      <w:r>
        <w:rPr>
          <w:sz w:val="19"/>
        </w:rPr>
      </w:r>
      <w:r>
        <w:rPr>
          <w:sz w:val="18"/>
        </w:rPr>
      </w:r>
    </w:p>
    <w:p>
      <w:pPr>
        <w:spacing w:line="228" w:lineRule="auto" w:before="2"/>
        <w:ind w:left="299" w:right="115" w:firstLine="0"/>
        <w:jc w:val="both"/>
        <w:rPr>
          <w:sz w:val="18"/>
        </w:rPr>
      </w:pPr>
      <w:r>
        <w:rPr>
          <w:b w:val="0"/>
          <w:i w:val="0"/>
          <w:sz w:val="18"/>
          <w:u w:val="none"/>
        </w:rPr>
        <w:t>2. Economic Botany Group III of the “Rainforest Foundation” – Brazil, Eastern Patagonia, Réunion, Southern Andes, Western Antarctic Peninsula, East Australian archipelago, Austral Bight, Torres Strait archipelago, East Antarctic Basin, Antarctic continent, The Eastern Indian Ocean, Central Pacific, Gulf of Peru, East equatorial Pacific, Central North Pacific, Andaman Sea and South Central Pacific, Peninsular Malaysia.</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3. Economic Botany Group IV of the “Association of Brazilian Forest Authorities” – Brazil, Balearic Islands, Guadeloupe, Istrian Islands, Patagonia, Istrian, Bahia, Western Araucania, Southern Cerrado, Western Ionian Islands, New Caledonia, Vanuatu, Fiji, Vanuatu island, Central North and South American</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Atlantic Forest, Lees, Kamino del Sur, Canary Islands, Western Australia, Queensland, British Antarctic Territory.</w:t>
      </w:r>
    </w:p>
    <w:p>
      <w:pPr>
        <w:pStyle w:val="BodyText"/>
        <w:spacing w:before="4"/>
        <w:rPr>
          <w:sz w:val="17"/>
        </w:rPr>
      </w:pPr>
    </w:p>
    <w:p>
      <w:pPr>
        <w:pStyle w:val="Heading4"/>
      </w:pPr>
      <w:r>
        <w:rPr/>
        <w:t>Life cycle</w:t>
      </w:r>
    </w:p>
    <w:p>
      <w:pPr>
        <w:pStyle w:val="BodyText"/>
        <w:ind w:left="299" w:right="116"/>
        <w:jc w:val="both"/>
      </w:pPr>
      <w:r>
        <w:rPr/>
        <w:t xml:space="preserve"> The fresh weight (FW) of adult plants for graded fruit weighing was analysed at ﬁve plantings for each taxon and would result in a separate ﬂow weight which was then calculated in grams individual plant ha−1 (e.g. FW = 211 g individual plant ha−1, FW = 165 g processed plant ha−1, where FW = weight of individual fruits;</w:t>
      </w:r>
    </w:p>
    <w:p>
      <w:pPr>
        <w:spacing w:line="228" w:lineRule="auto" w:before="0"/>
        <w:ind w:left="299" w:right="116" w:firstLine="0"/>
        <w:jc w:val="both"/>
        <w:rPr>
          <w:sz w:val="18"/>
        </w:rPr>
      </w:pPr>
      <w:r>
        <w:rPr>
          <w:b w:val="0"/>
          <w:i w:val="0"/>
          <w:sz w:val="18"/>
          <w:u w:val="none"/>
        </w:rPr>
        <w:t>5 ). The FW %age of used industrial fertilizer included ammonium nitrate (NH4N), potassium phosphate (KP), copper sulfate (CS2) and available sulfur (S). The total FR content was measured at almost every maturity (8 days) during ﬂowering for common guava at each site. Each fruit and fresh fruit area for vegetative and reproductive growth times were measured and calculated for each plant using a Climtrum ESPA No. 6 Australian fruit-length system.</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Fruit dry weight (FDW) was obtained after drying the fruit at 70 °C under a controlled laboratory lighting with a photoperiod of 16 h d-1 (DLI of 12.9 mol m-2 s-1, ), in spite of the fact that the fruit was not weighed in each experiment. For the special studies, the fruit total dry matter (TDWM; 20%) was reported for wild plants on each plot (see below).</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Parasitic</w:t>
      </w:r>
    </w:p>
    <w:p>
      <w:pPr>
        <w:spacing w:line="230" w:lineRule="auto" w:before="8"/>
        <w:ind w:left="299" w:right="114" w:firstLine="0"/>
        <w:jc w:val="both"/>
        <w:rPr>
          <w:sz w:val="18"/>
        </w:rPr>
      </w:pPr>
      <w:r>
        <w:rPr>
          <w:b w:val="0"/>
          <w:i w:val="0"/>
          <w:sz w:val="18"/>
          <w:u w:val="none"/>
        </w:rPr>
        <w:t>The harvesting procedure involved windirs, dump truck, vertical hauling equipment, hoisting machine, excavators, 70 mm discus throwers, pulverised earth (4 m wide) and a conveyor belt maintans on 04 March 2017 at 8:00–10:00 AM and on 09 April 2017 at 17:00–18:00 UT. Diseased and dead plants were pulled from the macerated soil by hoists on a ~60 KWH pulverised earth (TOC) hoist at ≈ 161 MJ m-2 s-1, whereas healthy plants were hauled on a thermal conveyor on ATV at ≈ 205 MJ m-2 s-1. Approximately 5 kg could still be collected in the crop detentions after harvesting. The field monitoring system consisted of a portable windows canopy digital tester (DVCO Microscope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Table 1</w:t>
      </w:r>
    </w:p>
    <w:p>
      <w:pPr>
        <w:spacing w:line="230" w:lineRule="auto" w:before="2"/>
        <w:ind w:left="299" w:right="116" w:firstLine="0"/>
        <w:jc w:val="both"/>
        <w:rPr>
          <w:sz w:val="18"/>
        </w:rPr>
      </w:pPr>
      <w:r>
        <w:rPr>
          <w:b w:val="0"/>
          <w:i w:val="0"/>
          <w:sz w:val="18"/>
          <w:u w:val="none"/>
        </w:rPr>
        <w:t xml:space="preserve"> Total fruit weight (TFW), dry weight (DFW) and fresh fruit volume (FFV) of different cultivars grown on sunny South African soils under nine planting patterns with habanero under natural conditions (). A ‘Starter’ and ‘Alternative Production’ systems were initially selected and subsequently augmented with six additional cultivars on 20 November 2017. Table 1 also includes the fruit mass per plant in grams for both parent plants, fruit weight and dry weight of the resulting plants.</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USDA A, European Union Directive 93/46/EC of 6 April 1993 on the replacement of incandescent lamps with passive reflectors (</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Appendix B – Experimental planting date and times for the ﬁve ﬁsh generated during this investigation (n = ﬁve) and the experimental period of ﬁve ﬁsh (n = 24)</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The Author(s). 2020 Elsevier Ireland Ltd. All rights reserved.</w:t>
      </w:r>
      <w:r>
        <w:rPr>
          <w:sz w:val="19"/>
        </w:rPr>
      </w:r>
      <w:r>
        <w:rPr>
          <w:sz w:val="18"/>
        </w:rPr>
      </w:r>
      <w:r>
        <w:rPr>
          <w:spacing w:val="39"/>
          <w:sz w:val="18"/>
        </w:rPr>
      </w:r>
      <w:r>
        <w:rPr>
          <w:sz w:val="18"/>
        </w:rPr>
      </w:r>
    </w:p>
    <w:p>
      <w:pPr>
        <w:pStyle w:val="Heading3"/>
        <w:spacing w:line="217" w:lineRule="exact"/>
        <w:rPr>
          <w:sz w:val="18"/>
        </w:rPr>
      </w:pPr>
      <w:r>
        <w:rPr>
          <w:b w:val="0"/>
          <w:i w:val="0"/>
          <w:u w:val="none"/>
        </w:rPr>
        <w:t>Acknowledgements</w:t>
      </w:r>
      <w:r>
        <w:rPr>
          <w:sz w:val="18"/>
        </w:rPr>
      </w:r>
    </w:p>
    <w:p>
      <w:pPr>
        <w:pStyle w:val="BodyText"/>
        <w:spacing w:before="10"/>
        <w:rPr>
          <w:sz w:val="17"/>
        </w:rPr>
      </w:pPr>
    </w:p>
    <w:p>
      <w:pPr>
        <w:pStyle w:val="Heading4"/>
      </w:pPr>
      <w:r>
        <w:rPr/>
        <w:t xml:space="preserve"> We would like to</w:t>
      </w:r>
    </w:p>
    <w:p>
      <w:pPr>
        <w:pStyle w:val="BodyText"/>
        <w:spacing w:line="235" w:lineRule="auto" w:before="3"/>
        <w:ind w:left="299" w:right="115"/>
        <w:jc w:val="both"/>
      </w:pPr>
      <w:r>
        <w:rPr>
          <w:b w:val="0"/>
          <w:i w:val="0"/>
          <w:u w:val="none"/>
        </w:rPr>
        <w:t>ILSAC- project EZUniversidade Federal do Solo (FIUS) and Permian Basin Research and Development Agency for providing their support We want to thank University College London, Darwin for collaboration with Sambrook Centres for Our thanks also to Plant Research University and College of Agriculture and the University of Wollongong for their permission to use their AP and CCA lighting but questions about the accuracy of the data recorded in the dataset should be directed to the authors</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Author contributions JF conceived the idea. JF and AI designed the study and analyzed the data. JF and AI developed the software and versioned all of the experiments. JF and AI performed the experiments, checked the stability and integrity of the data during replication and analysis, designed and supervised the experiments and co-invented the paper. JF and AI wrote and revised the first draft of the paper. JF and AI reviewed and approved the manuscript. All authors reviewed and approved the final manuscript.</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Declaration of Competing Interest</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 xml:space="preserve"> The authors declare no competing</w:t>
      </w:r>
      <w:r>
        <w:rPr>
          <w:rFonts w:ascii="Arial"/>
          <w:i/>
          <w:spacing w:val="-5"/>
          <w:sz w:val="18"/>
        </w:rPr>
      </w:r>
      <w:r>
        <w:rPr>
          <w:rFonts w:ascii="Arial"/>
          <w:i/>
          <w:sz w:val="18"/>
        </w:rPr>
      </w:r>
      <w:r>
        <w:rPr>
          <w:rFonts w:ascii="Times New Roman"/>
          <w:i/>
          <w:sz w:val="22"/>
        </w:rPr>
      </w:r>
    </w:p>
    <w:p>
      <w:pPr>
        <w:pStyle w:val="Heading4"/>
        <w:spacing w:line="212" w:lineRule="exact" w:before="123"/>
      </w:pPr>
      <w:r>
        <w:rPr/>
        <w:t>Conclusion</w:t>
      </w:r>
    </w:p>
    <w:p>
      <w:pPr>
        <w:spacing w:line="228" w:lineRule="auto" w:before="4"/>
        <w:ind w:left="299" w:right="118" w:firstLine="0"/>
        <w:jc w:val="both"/>
        <w:rPr>
          <w:sz w:val="18"/>
        </w:rPr>
      </w:pPr>
      <w:r>
        <w:rPr>
          <w:b w:val="0"/>
          <w:i w:val="0"/>
          <w:sz w:val="18"/>
          <w:u w:val="none"/>
        </w:rPr>
        <w:t xml:space="preserve"> This study has the potential to inﬂuence industry on research into lighting technologies to meet demands and increase the agricultural productivity. This study was carried out with the support of the Research Major Grant from the Program on Community-Based Knowledge Technology (PBCTR), SA ZDI. The authors wish to acknowledge the funding scheme based on the Ecological Sciences Research Council of SA ZDI for potential publication of this paper and would like to thank the Technical Coordination Unit (TCU) for providing the experimental equipment service, the Plant Research Federation and mygrants proﬁt.</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Appendix B. Supplementary</w:t>
      </w:r>
    </w:p>
    <w:p>
      <w:pPr>
        <w:spacing w:line="230" w:lineRule="auto" w:before="8"/>
        <w:ind w:left="299" w:right="119" w:firstLine="0"/>
        <w:jc w:val="both"/>
        <w:rPr>
          <w:sz w:val="18"/>
        </w:rPr>
      </w:pPr>
      <w:r>
        <w:rPr>
          <w:b w:val="0"/>
          <w:i w:val="0"/>
          <w:sz w:val="18"/>
          <w:u w:val="none"/>
        </w:rPr>
        <w:t>Supplementary data to this article can be found online at doi:&lt;= https:// dx.doi.org/10.3898/s12792-020-00188-5</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Acknowledgements</w:t>
      </w:r>
    </w:p>
    <w:p>
      <w:pPr>
        <w:pStyle w:val="BodyText"/>
        <w:spacing w:before="3"/>
        <w:ind w:left="299" w:right="124"/>
        <w:jc w:val="both"/>
      </w:pPr>
      <w:r>
        <w:rPr/>
        <w:t>This project was funded by the LBDC project SMWR&amp;SA/8/2017/6/1 for Gladieux, Chatelain and Lesage villages, for a Countryside Improvement Project belonging to South Africa SAAB/2015/328/8/3.</w:t>
      </w:r>
    </w:p>
    <w:p>
      <w:pPr>
        <w:pStyle w:val="BodyText"/>
        <w:spacing w:before="8"/>
        <w:rPr>
          <w:sz w:val="17"/>
        </w:rPr>
      </w:pPr>
    </w:p>
    <w:p>
      <w:pPr>
        <w:pStyle w:val="Heading1"/>
        <w:spacing w:before="1"/>
      </w:pPr>
      <w:r>
        <w:rPr/>
        <w:t xml:space="preserve"> Acknowledgements</w:t>
      </w:r>
    </w:p>
    <w:p>
      <w:pPr>
        <w:pStyle w:val="BodyText"/>
        <w:spacing w:before="3"/>
        <w:ind w:left="299"/>
      </w:pPr>
      <w:r>
        <w:rPr/>
        <w:t xml:space="preserve"> Appendix C to this article’s paper successfully completed by her colleagues, the authors, for assessing the environment and planting.</w:t>
      </w:r>
    </w:p>
    <w:p>
      <w:pPr>
        <w:pStyle w:val="BodyText"/>
        <w:spacing w:before="1"/>
        <w:ind w:left="299" w:right="2859"/>
      </w:pPr>
      <w:r>
        <w:rPr/>
        <w:t>Appendix D. Supplementary data can be found online at doi:&lt;=http:// dx.doi.org/10.3732/s12792-020-02197-4</w:t>
      </w:r>
    </w:p>
    <w:p>
      <w:pPr>
        <w:pStyle w:val="BodyText"/>
        <w:ind w:left="299" w:right="115"/>
      </w:pPr>
      <w:r>
        <w:rPr/>
        <w:t>&gt; Tripathi, AN, Karamese N. Essential oils of Caesalpinia lisana L. and its role in glutathione reductase–antioxidant system. J Black Belt Surg. 29, 1–14.</w:t>
      </w:r>
    </w:p>
    <w:p>
      <w:pPr>
        <w:pStyle w:val="BodyText"/>
        <w:ind w:left="299" w:right="129"/>
      </w:pPr>
      <w:r>
        <w:rPr>
          <w:b w:val="0"/>
          <w:i w:val="0"/>
          <w:u w:val="none"/>
        </w:rPr>
        <w:t xml:space="preserve"> ≡Taylor, N.A., Tardio, S., Barton, M.P. and Forsyth, M.J. 1992 Quantitative studies of natural chemicals and their content in many species of plants.</w:t>
      </w:r>
      <w:r>
        <w:rPr>
          <w:spacing w:val="-2"/>
        </w:rPr>
      </w:r>
      <w:r>
        <w:rPr/>
      </w:r>
    </w:p>
    <w:p>
      <w:pPr>
        <w:pStyle w:val="BodyText"/>
        <w:spacing w:line="217" w:lineRule="exact"/>
        <w:ind w:left="299"/>
      </w:pPr>
      <w:r>
        <w:rPr/>
        <w:t xml:space="preserve"> ≡Upson, E.A.B., Grech-Aguilar, S., Chavez, L.G. and Ramos-Castro, L.G. 2000 Etiology of coronavirus diarrhea in the Philippines.</w:t>
      </w:r>
    </w:p>
    <w:p>
      <w:pPr>
        <w:pStyle w:val="BodyText"/>
        <w:ind w:left="299" w:right="115"/>
      </w:pPr>
      <w:r>
        <w:rPr/>
        <w:t>V and Y Leung 1997 Garlic, mustard and medicinal properties of Staghorn sabdariffa L., Nepeta commutatum L., Punica granatum L., Melilotus mexicana L., Ethol- ropenone kojicin, Pinus maximulifolia L., Paloax quinol-Cocos nucifera L., Homochium equisetum L., Nu-Thetaordanoides Cehaj &amp; Panem.S.S.A. 1992 Effects of sub-</w:t>
      </w:r>
    </w:p>
    <w:p>
      <w:pPr>
        <w:pStyle w:val="BodyText"/>
        <w:spacing w:before="1"/>
        <w:ind w:left="299"/>
      </w:pPr>
      <w:r>
        <w:rPr/>
        <w:t>904 FL certiﬁcate in Newcastle disease and mange on growth performance and molecular mechanisms of infection and bacterial</w:t>
      </w:r>
    </w:p>
    <w:p>
      <w:pPr>
        <w:pStyle w:val="BodyText"/>
        <w:spacing w:line="217" w:lineRule="exact"/>
        <w:ind w:left="299"/>
      </w:pPr>
      <w:r>
        <w:rPr/>
        <w:t>Alien Nomenclature Project. The Alien Nomenclature Project (ANP). Accessed 23 November 2019</w:t>
      </w:r>
    </w:p>
    <w:p>
      <w:pPr>
        <w:pStyle w:val="BodyText"/>
        <w:ind w:left="299" w:right="609"/>
      </w:pPr>
      <w:r>
        <w:rPr/>
        <w:t>Van Gentingen, E.J., Veselova, I.V. and Sto€venovich, D.S. 1988 Promoting growth and quality in ruminant and</w:t>
      </w:r>
    </w:p>
    <w:p>
      <w:pPr>
        <w:pStyle w:val="BodyText"/>
        <w:ind w:left="299" w:right="115"/>
      </w:pPr>
      <w:r>
        <w:rPr/>
        <w:t>Siamico,cia meat through the prevention and treatment of broiler diseases – a review. Russian Journal of Animal Science 37, 265–293.</w:t>
      </w:r>
    </w:p>
    <w:p>
      <w:pPr>
        <w:pStyle w:val="BodyText"/>
        <w:ind w:left="299"/>
      </w:pPr>
      <w:r>
        <w:rPr/>
        <w:t xml:space="preserve"> Van Steerdenaari, H.B. (ed.) 1998 The cause of vetchnets.</w:t>
      </w:r>
    </w:p>
    <w:p>
      <w:pPr>
        <w:pStyle w:val="BodyText"/>
        <w:ind w:left="299"/>
      </w:pPr>
      <w:r>
        <w:rPr/>
        <w:t>Verhofstad, P.R. and Van Gool, R.M. 1997 Antioxidant biosynthesis and major component analysis of grupo caesiate. Bio-</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organic document of the Netherlands, 117, 89–105.</w:t>
      </w:r>
    </w:p>
    <w:p>
      <w:pPr>
        <w:spacing w:line="199" w:lineRule="exact" w:before="0"/>
        <w:ind w:left="299" w:right="0" w:firstLine="0"/>
        <w:jc w:val="left"/>
        <w:rPr>
          <w:sz w:val="16"/>
        </w:rPr>
      </w:pPr>
      <w:r>
        <w:rPr>
          <w:b w:val="0"/>
          <w:i w:val="0"/>
          <w:sz w:val="17"/>
          <w:u w:val="none"/>
        </w:rPr>
        <w:t xml:space="preserve"> Vinay , C.L. , Parks , J.W. and Duggan ,</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tion on rumen digesta of dairy cows with endocrine changes examined at diﬀerent growth stages.</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Watertown Research Bank. Equisetum album L.</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Herbivore</dc:creator>
  <dc:title> Wechsler Handbook for the Perceptual / Motor IQ</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