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1942 ’ , Canberra , , [ archival</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CO2 NH4</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Ash silt S 2 0 4.50 0.08 7.48 b 0.23</w:t>
      </w:r>
      <w:r>
        <w:rPr>
          <w:spacing w:val="-33"/>
        </w:rPr>
      </w:r>
      <w:r>
        <w:rPr/>
      </w:r>
      <w:r>
        <w:rPr>
          <w:spacing w:val="-11"/>
        </w:rPr>
      </w:r>
      <w:r>
        <w:rPr/>
      </w:r>
    </w:p>
    <w:p>
      <w:pPr>
        <w:pStyle w:val="BodyText"/>
        <w:spacing w:before="8"/>
        <w:rPr>
          <w:sz w:val="17"/>
        </w:rPr>
      </w:pPr>
    </w:p>
    <w:p>
      <w:pPr>
        <w:pStyle w:val="Title"/>
      </w:pPr>
      <w:r>
        <w:rPr/>
        <w:t xml:space="preserve"> Asepala cristatum Caatinga 4 0 5 0.38 1.48 10.92 I</w:t>
      </w:r>
    </w:p>
    <w:p>
      <w:pPr>
        <w:pStyle w:val="Heading1"/>
        <w:spacing w:before="290"/>
        <w:ind w:left="585" w:right="411"/>
        <w:jc w:val="center"/>
      </w:pPr>
      <w:r>
        <w:rPr>
          <w:b w:val="0"/>
          <w:i w:val="0"/>
          <w:u w:val="none"/>
        </w:rPr>
        <w:t>Asepala pumila (Asteraceae) 87/DE/10</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Source: Botanic Garden, Kew 58, United Kingdom</w:t>
      </w:r>
      <w:r>
        <w:rPr>
          <w:vertAlign w:val="baseline"/>
        </w:rPr>
      </w:r>
    </w:p>
    <w:p>
      <w:pPr>
        <w:spacing w:line="265" w:lineRule="exact" w:before="0"/>
        <w:ind w:left="586" w:right="407" w:firstLine="0"/>
        <w:jc w:val="center"/>
        <w:rPr>
          <w:sz w:val="23"/>
        </w:rPr>
      </w:pPr>
      <w:r>
        <w:rPr>
          <w:b w:val="0"/>
          <w:i w:val="0"/>
          <w:sz w:val="23"/>
          <w:u w:val="none"/>
          <w:vertAlign w:val="superscript"/>
        </w:rPr>
        <w:t>Fresh sub-samples of leaves on tray under a dissecting microscope</w:t>
      </w:r>
      <w:r>
        <w:rPr>
          <w:sz w:val="23"/>
          <w:vertAlign w:val="baseline"/>
        </w:rPr>
      </w:r>
    </w:p>
    <w:p>
      <w:pPr>
        <w:pStyle w:val="Heading2"/>
        <w:spacing w:line="230" w:lineRule="auto" w:before="2"/>
        <w:ind w:left="1904" w:right="1723"/>
      </w:pPr>
      <w:r>
        <w:rPr>
          <w:b w:val="0"/>
          <w:i w:val="0"/>
          <w:w w:val="95"/>
          <w:u w:val="none"/>
          <w:vertAlign w:val="superscript"/>
        </w:rPr>
        <w:t xml:space="preserve">Dry sub-samples (subcutaneously) of heads, stems and leaves on drapes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Divide dry and wet materials at each stage</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Preparing water bath for hydrogen peroxide preparation</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1 20 mL of methyl amine (2:1 v/v) in 30 mL of aqueous HCl solution</w:t>
      </w:r>
      <w:r>
        <w:rPr/>
      </w:r>
    </w:p>
    <w:p>
      <w:pPr>
        <w:pStyle w:val="BodyText"/>
        <w:rPr>
          <w:sz w:val="22"/>
        </w:rPr>
      </w:pPr>
    </w:p>
    <w:p>
      <w:pPr>
        <w:pStyle w:val="Heading1"/>
        <w:spacing w:before="184"/>
      </w:pPr>
      <w:r>
        <w:rPr/>
        <w:t xml:space="preserve"> Add 200 mL</w:t>
      </w:r>
    </w:p>
    <w:p>
      <w:pPr>
        <w:pStyle w:val="BodyText"/>
        <w:spacing w:before="1"/>
        <w:ind w:left="299" w:right="116"/>
        <w:jc w:val="both"/>
      </w:pPr>
      <w:r>
        <w:rPr>
          <w:b w:val="0"/>
          <w:i w:val="0"/>
          <w:u w:val="none"/>
        </w:rPr>
        <w:t>2 add 20 mL of H2SO4 and let sit for 10 min, then continue as above but use H2SO4 based stock solution instead of H2SO2 and let sit for 1 h and then use H2SO4 based stock solution instead of H2SO2.</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3 keep checking the process with the ‘‘open reading lamp’’ to check the colour change is decreased from the control. On the other hand, on some previous work using distillation media made from chloroform, changing from a red indicator to a blue one following exposure to FR can give false positive results. If this occurs, the reaction is probably not correct, and the distilled media is to be kept and re-sampled afterwards.</w:t>
      </w:r>
      <w:r>
        <w:rPr>
          <w:spacing w:val="-21"/>
        </w:rPr>
      </w:r>
      <w:r>
        <w:rPr/>
      </w:r>
    </w:p>
    <w:p>
      <w:pPr>
        <w:pStyle w:val="BodyText"/>
        <w:spacing w:before="10"/>
        <w:rPr>
          <w:sz w:val="17"/>
        </w:rPr>
      </w:pPr>
    </w:p>
    <w:p>
      <w:pPr>
        <w:pStyle w:val="Heading1"/>
      </w:pPr>
      <w:r>
        <w:rPr/>
        <w:t>H2S-MS analysis</w:t>
      </w:r>
    </w:p>
    <w:p>
      <w:pPr>
        <w:pStyle w:val="BodyText"/>
        <w:spacing w:before="3"/>
        <w:ind w:left="299" w:right="114"/>
        <w:jc w:val="both"/>
      </w:pPr>
      <w:r>
        <w:rPr>
          <w:b w:val="0"/>
          <w:i w:val="0"/>
          <w:u w:val="none"/>
        </w:rPr>
        <w:t xml:space="preserve"> The hydrolysis of organic compounds is not feasible for physiological reasons. This is only possible for QH2O and Pb under appropriate conditions, which are experimentally determined. The QH2O and Pb were extracted with the use of base + H2SO4 (90:5). The QH2O was assessed for oxidative stress following diﬀusion of its pellet with the use of a MetCon MSpro (Lake City, USA), which was structured with two 200 s evaporation cycles at 30 oC and mass spectrometry followed by curve fitting and assembling of the spectra. We chose MHZPA from the North American Water Survey (USA) because it was available from a general chemical chemistry buffering plant (PerkinElmer, Canada), Trolox Pro, from Cypress Chemical Co. (Michx.), and Grog Chemicals MDPI (Caltech), respectively, as well as HPLC-UV-DS (Coefficient HPLC-UV-DS kit, CSE of Deerfield, IL, USA) for HPLC-DS analysis. Phosphate solubilisation assay was performed in both solutions using the Trolox Pro procedure on a Dionex 4 700 HPLC system.</w:t>
      </w:r>
      <w:r>
        <w:rPr>
          <w:spacing w:val="-12"/>
        </w:rPr>
      </w:r>
      <w:r>
        <w:rPr/>
      </w:r>
    </w:p>
    <w:p>
      <w:pPr>
        <w:pStyle w:val="BodyText"/>
        <w:spacing w:before="1"/>
      </w:pPr>
    </w:p>
    <w:p>
      <w:pPr>
        <w:pStyle w:val="Heading4"/>
      </w:pPr>
      <w:r>
        <w:rPr/>
        <w:t>Equipment:</w:t>
      </w:r>
    </w:p>
    <w:p>
      <w:pPr>
        <w:pStyle w:val="BodyText"/>
        <w:spacing w:line="235" w:lineRule="auto" w:before="3"/>
        <w:ind w:left="299" w:right="115"/>
        <w:jc w:val="both"/>
        <w:rPr>
          <w:sz w:val="19"/>
        </w:rPr>
      </w:pPr>
      <w:r>
        <w:rPr>
          <w:b w:val="0"/>
          <w:i w:val="0"/>
          <w:u w:val="none"/>
        </w:rPr>
        <w:t>Reagent: 60% buffer solution, 2% acetonitrile (80:20 w/v), 2% perchloric acid (1:8 v/v), 2.4% peroxynitrite (1:2 v/v), 90% H2SO4 (4.5 mg/mL), pH 7.4; incubation time 30 min; dilution 0.3 mL/mL</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analyzer ; software : MATLAB version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Oxygen: 150 µL aliquots (mix ratio 1:1500), kept at −20 °C; absorbance at 410 nm: 1293.72 ± 3.92 µg/mL; m/z 180.880: 6.8928</w:t>
      </w:r>
      <w:r>
        <w:rPr>
          <w:sz w:val="18"/>
        </w:rPr>
      </w:r>
      <w:r>
        <w:rPr>
          <w:sz w:val="19"/>
        </w:rPr>
      </w:r>
      <w:r>
        <w:rPr>
          <w:sz w:val="18"/>
        </w:rPr>
      </w:r>
    </w:p>
    <w:p>
      <w:pPr>
        <w:spacing w:line="228" w:lineRule="auto" w:before="2"/>
        <w:ind w:left="299" w:right="115" w:firstLine="0"/>
        <w:jc w:val="both"/>
        <w:rPr>
          <w:sz w:val="18"/>
        </w:rPr>
      </w:pPr>
      <w:r>
        <w:rPr>
          <w:b w:val="0"/>
          <w:i w:val="0"/>
          <w:sz w:val="18"/>
          <w:u w:val="none"/>
        </w:rPr>
        <w:t>EO, 2.7428 ± 1.78; LC-qTOF-MS, 518–627.96; MS-HG, 454.724 ± 29.275; carboxylic acid yield, 13.93 ± 0.41; organic acid yield, 274.331 ± 9.315 µg/mL; v/v), 25 C with an initial MS injection velocity of 280 m/s at 584 nm and an initial injection time of 1 min. Per fulminant assay was performed using TRIzol (Biomass Tech-</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 xml:space="preserve"> ware, USA) according to the manufacturer’s recommendations. Original standards: 1:2000; medium: Tween 20, Balsamin II (PBS) purchased from Becton Dickinson (Clifton, NJ, USA); SDS-PAGE pre-columns (Biomass-Exchange), purchased from Sigma Aldrich (St. Louis, MO, USA) and 10% (v/v) (Bio-Rad, Hercules, La Jolla, CA, USA) were purchased from FarmBIO. Phosphate solubilisation and electrophoresis samples were prepared using the protocol described by Pruski and Carter (1999) and by the author.</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H2O ratio. At a final concentration of 50 µg/mL, all fragments were analysed using electrophoresis using the UV–Vis spectrophotometer (UV-1800, Figure 2).</w:t>
      </w:r>
    </w:p>
    <w:p>
      <w:pPr>
        <w:pStyle w:val="BodyText"/>
        <w:spacing w:before="4"/>
        <w:rPr>
          <w:sz w:val="17"/>
        </w:rPr>
      </w:pPr>
    </w:p>
    <w:p>
      <w:pPr>
        <w:pStyle w:val="Heading4"/>
      </w:pPr>
      <w:r>
        <w:rPr/>
        <w:t>| Combined method</w:t>
      </w:r>
    </w:p>
    <w:p>
      <w:pPr>
        <w:pStyle w:val="BodyText"/>
        <w:ind w:left="299" w:right="116"/>
        <w:jc w:val="both"/>
      </w:pPr>
      <w:r>
        <w:rPr/>
        <w:t xml:space="preserve"> EO, PL, ET and EO showed moderate amounts of assay contamination, with DPPH radical inhibition of 94.9%, 92.5% and 94.3% at the concentrations used in our studies (7.0 µg/mL and 12.5 µg/mL), respectively.</w:t>
      </w:r>
    </w:p>
    <w:p>
      <w:pPr>
        <w:spacing w:line="228" w:lineRule="auto" w:before="0"/>
        <w:ind w:left="299" w:right="116" w:firstLine="0"/>
        <w:jc w:val="both"/>
        <w:rPr>
          <w:sz w:val="18"/>
        </w:rPr>
      </w:pPr>
      <w:r>
        <w:rPr>
          <w:b w:val="0"/>
          <w:i w:val="0"/>
          <w:sz w:val="18"/>
          <w:u w:val="none"/>
        </w:rPr>
        <w:t>The EO extracts showed consistent antioxidant activity (EC50 = 59.7 µg/mL) and in vitro deﬁciency inhibition (EC50 = 61.1 µg/mL) when compared with the extracts in the traditional plant preparation. The antibacterial activity of EOs extracted from the R. canina CGB obtained from diﬀerent sources and R. canina PL at diﬀerent concentrations were combined and evaluated in a CGB pretreatment, subtreatment using a CGB/PC system, and/or combined</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DPPH radical inhibition assay (EC50 = 31.8 µg/mL, d13C = 727 ppm, n = 12, ITS = 4.89, CC50 = 0.29 µg/mL) was performed using the DPPH radical scavenging/antioxidant scavenging method (Lovett and Clayton, 1991).</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 Conclusions</w:t>
      </w:r>
    </w:p>
    <w:p>
      <w:pPr>
        <w:spacing w:line="230" w:lineRule="auto" w:before="8"/>
        <w:ind w:left="299" w:right="114" w:firstLine="0"/>
        <w:jc w:val="both"/>
        <w:rPr>
          <w:sz w:val="18"/>
        </w:rPr>
      </w:pPr>
      <w:r>
        <w:rPr>
          <w:b w:val="0"/>
          <w:i w:val="0"/>
          <w:sz w:val="18"/>
          <w:u w:val="none"/>
        </w:rPr>
        <w:t>Formulation of this commercialized short-chain fatty acid ester monoterpene (SCFAs) compound is an important aspect in the development of novel bioactive compounds with the aim of improving the health of livestock. The antioxidant, antioxidant and other productive traits improved through this utilization were demonstrated by this traditional preparation. In this work, polyphenols were identiﬁed from the SCFAs of plants to be synergistic to the conventional herb prescriptions, inhibiting mortality of oxidative stress-induced proliferation of cell lines, inhibiting liver damage, and improving overall carcass traits. Data are summarized in.</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 References</w:t>
      </w:r>
    </w:p>
    <w:p>
      <w:pPr>
        <w:spacing w:line="230" w:lineRule="auto" w:before="2"/>
        <w:ind w:left="299" w:right="116" w:firstLine="0"/>
        <w:jc w:val="both"/>
        <w:rPr>
          <w:sz w:val="18"/>
        </w:rPr>
      </w:pPr>
      <w:r>
        <w:rPr>
          <w:b w:val="0"/>
          <w:i w:val="0"/>
          <w:sz w:val="18"/>
          <w:u w:val="none"/>
        </w:rPr>
        <w:t>Akane, B., Sato, S., Mizutani, T., Nakanishi, N., Miyakawa, A., Tanabe, K., Fukumoto, H., Tanaka, T., … Wakayama, N. (2008). Compounds from Q. infectoria and Q. virgata: Role in growth differentiation and metabolism. Journal of Ethnopharmacology, 93, 95–107.</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Buckingham, D. M., and Parkinson, S. T. (1999). Rabbits as feed for the domestic and wild animal industry.</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Oxidant Guardian, 6(1), 17–24.</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Bean, R. L., Harmon, B. B., Harrison, C. P., and Curry, M. J. (1991). The biology of host plants, and binocular stereotaxic view of their in-</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 in red ) . Science</w:t>
      </w:r>
      <w:r>
        <w:rPr>
          <w:sz w:val="18"/>
        </w:rPr>
      </w:r>
    </w:p>
    <w:p>
      <w:pPr>
        <w:pStyle w:val="BodyText"/>
        <w:spacing w:before="10"/>
        <w:rPr>
          <w:sz w:val="17"/>
        </w:rPr>
      </w:pPr>
    </w:p>
    <w:p>
      <w:pPr>
        <w:pStyle w:val="Heading4"/>
      </w:pPr>
      <w:r>
        <w:rPr/>
        <w:t xml:space="preserve"> | Compounds 133–144</w:t>
      </w:r>
    </w:p>
    <w:p>
      <w:pPr>
        <w:pStyle w:val="BodyText"/>
        <w:spacing w:line="235" w:lineRule="auto" w:before="3"/>
        <w:ind w:left="299" w:right="115"/>
        <w:jc w:val="both"/>
      </w:pPr>
      <w:r>
        <w:rPr>
          <w:b w:val="0"/>
          <w:i w:val="0"/>
          <w:u w:val="none"/>
        </w:rPr>
        <w:t>). reversal post-smolts. Those compounds were scavenged by lipopolysaccharide (LPS)-induced NF-kB activation as well as activation of the transcription factor and chemokine systems found in lymphocytes and macrophages (Cassorish, F. and Kawato, T. H. M., eds. 1995). Other examples included the synthesis of diterpene glycosides, an allyl isothiocyanate (EITH) agent and turmeric acid containing nasal licorice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(native or imported), which inhibit proliferation of invasive pathogens in mice. There is no evidence yet of the eﬀects of 1,2,3,3‐triazoles (ART), a (siallyl glucuronide as silver nitrate) cinnamate derivative as the reinforcing ligand on ABA‐induced ENC (Chaplin, R. M., Phinney, T. A., and Vandebrew, D. D. 1995). Plant sterols reverse phenylpropanoid β‐amylase inhibition induced by rice‐derived endophytes in the intestine (Orsak, S. and Van Raalte, H. H. 2007). Proc. Natl Acad. Sci. USA 94, 24060–24063.</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 2007 Elsevier Ireland Ltd. All rights</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Ananthonya balfourii</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 Alkaline phosphatase</w:t>
      </w:r>
    </w:p>
    <w:p>
      <w:pPr>
        <w:spacing w:line="228" w:lineRule="auto" w:before="4"/>
        <w:ind w:left="299" w:right="118" w:firstLine="0"/>
        <w:jc w:val="both"/>
        <w:rPr>
          <w:sz w:val="18"/>
        </w:rPr>
      </w:pPr>
      <w:r>
        <w:rPr>
          <w:b w:val="0"/>
          <w:i w:val="0"/>
          <w:sz w:val="18"/>
          <w:u w:val="none"/>
        </w:rPr>
        <w:t>A. Balfourii is the sister‐group of Alkaloids. Alkyl phosphatases catalyze the phosphorylation of calcium, phosphatidylinositol‐3 phosphate (Pi), and tartrate in the matrix (Schönherr), which results in the more negative effects of heavy metal free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APPETITE INFLUENCE</w:t>
      </w:r>
    </w:p>
    <w:p>
      <w:pPr>
        <w:spacing w:line="230" w:lineRule="auto" w:before="8"/>
        <w:ind w:left="299" w:right="119" w:firstLine="0"/>
        <w:jc w:val="both"/>
        <w:rPr>
          <w:sz w:val="18"/>
        </w:rPr>
      </w:pPr>
      <w:r>
        <w:rPr>
          <w:b w:val="0"/>
          <w:i w:val="0"/>
          <w:sz w:val="18"/>
          <w:u w:val="none"/>
        </w:rPr>
        <w:t xml:space="preserve"> Although, its role is complicated, it has been speculated that its production under GIT leads to an increase in cecum microbial population, possibly resulting in increased fecundity (Hahm et al., 2006; Garcia‐Sa´ez et al., 2010). Evidence of an appetite‐related decrease in carbohydrate intake has also been observed from previous studies in PtP mice fed Phytophilus solani oil during a gastric administration (Leith et al., 1995). Generally, changes in appetite driven by changes in relative fat digestibility seem to be carried out by changes in alkaline phosphatases.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APPETITE ENHANCEMENT</w:t>
      </w:r>
    </w:p>
    <w:p>
      <w:pPr>
        <w:pStyle w:val="BodyText"/>
        <w:spacing w:before="3"/>
        <w:ind w:left="299" w:right="124"/>
        <w:jc w:val="both"/>
      </w:pPr>
      <w:r>
        <w:rPr/>
        <w:t>The administration of compounds powders (aqueous extract, water, or extract supplemented with concentrated Phyllanthus retroflexus leaves extract were investigated to affect the behavior of ZC and C57BL/6j irradiated ZC/ZJ‐11 female rats through avoidance</w:t>
      </w:r>
    </w:p>
    <w:p>
      <w:pPr>
        <w:pStyle w:val="BodyText"/>
        <w:spacing w:before="8"/>
        <w:rPr>
          <w:sz w:val="17"/>
        </w:rPr>
      </w:pPr>
    </w:p>
    <w:p>
      <w:pPr>
        <w:pStyle w:val="Heading1"/>
        <w:spacing w:before="1"/>
      </w:pPr>
      <w:r>
        <w:rPr/>
        <w:t xml:space="preserve"> PERPETUAL</w:t>
      </w:r>
    </w:p>
    <w:p>
      <w:pPr>
        <w:pStyle w:val="BodyText"/>
        <w:spacing w:before="3"/>
        <w:ind w:left="299"/>
      </w:pPr>
      <w:r>
        <w:rPr/>
        <w:t>Temporal anoxia, measured by the Rayandria test (Allen</w:t>
      </w:r>
    </w:p>
    <w:p>
      <w:pPr>
        <w:pStyle w:val="BodyText"/>
        <w:spacing w:before="1"/>
        <w:ind w:left="299" w:right="2859"/>
      </w:pPr>
      <w:r>
        <w:rPr/>
        <w:t xml:space="preserve"> Gifford and Carter, 2011), is one of the physiological measures commonly taken to evaluate the oxidative functions, which varies according to the experiment setup (Alva et al.,</w:t>
      </w:r>
    </w:p>
    <w:p>
      <w:pPr>
        <w:pStyle w:val="BodyText"/>
        <w:ind w:left="299" w:right="115"/>
      </w:pPr>
      <w:r>
        <w:rPr/>
        <w:t>and root abscission after 3 days, utilizing using irradiated rats. A drastic reduction in</w:t>
      </w:r>
    </w:p>
    <w:p>
      <w:pPr>
        <w:pStyle w:val="BodyText"/>
        <w:ind w:left="299" w:right="129"/>
      </w:pPr>
      <w:r>
        <w:rPr>
          <w:b w:val="0"/>
          <w:i w:val="0"/>
          <w:u w:val="none"/>
        </w:rPr>
        <w:t>Figure 1. Gastrointestinal nematode proliferation induced by variations of copper (Cu)</w:t>
      </w:r>
      <w:r>
        <w:rPr>
          <w:spacing w:val="-2"/>
        </w:rPr>
      </w:r>
      <w:r>
        <w:rPr/>
      </w:r>
    </w:p>
    <w:p>
      <w:pPr>
        <w:pStyle w:val="BodyText"/>
        <w:spacing w:line="217" w:lineRule="exact"/>
        <w:ind w:left="299"/>
      </w:pPr>
      <w:r>
        <w:rPr/>
        <w:t xml:space="preserve"> (ten times higher than in untreated control) and Zn (ten times higher than in NAA treatment).</w:t>
      </w:r>
    </w:p>
    <w:p>
      <w:pPr>
        <w:pStyle w:val="BodyText"/>
        <w:ind w:left="299" w:right="115"/>
      </w:pPr>
      <w:r>
        <w:rPr/>
        <w:t>∗ denotes effects of treatment with influenza B virus B in comparison to control, while the right: Ca2+ radical and protein levels observed after 30 min exposure to 1 μM GaN. Error bars represent the standard error of the mean (SEM).</w:t>
      </w:r>
    </w:p>
    <w:p>
      <w:pPr>
        <w:pStyle w:val="BodyText"/>
        <w:spacing w:before="1"/>
        <w:ind w:left="299"/>
      </w:pPr>
      <w:r>
        <w:rPr/>
        <w:t>Figure 2. Long‐term effects of influenza B infection on rice survival kinetics. Epoch of treatment (reaction × time; 900–300 min) for comparison</w:t>
      </w:r>
    </w:p>
    <w:p>
      <w:pPr>
        <w:pStyle w:val="BodyText"/>
        <w:spacing w:line="217" w:lineRule="exact"/>
        <w:ind w:left="299"/>
      </w:pPr>
      <w:r>
        <w:rPr/>
        <w:t xml:space="preserve"> Figure 3. Survival of grains under the oral administration of GA, SeNPs, NaCl and Ca2+ at 60, 120 and 240 h in vivo.</w:t>
      </w:r>
    </w:p>
    <w:p>
      <w:pPr>
        <w:pStyle w:val="BodyText"/>
        <w:ind w:left="299" w:right="609"/>
      </w:pPr>
      <w:r>
        <w:rPr/>
        <w:t>Figure 4. Survival of shiga (black cumin), rice (red cumin) and corn (orange cumin) under the oral administration of SeNPs, selenite, GA, selenate, SeNPs; black: concentration of Se; green: Se-</w:t>
      </w:r>
    </w:p>
    <w:p>
      <w:pPr>
        <w:pStyle w:val="BodyText"/>
        <w:ind w:left="299" w:right="115"/>
      </w:pPr>
      <w:r>
        <w:rPr/>
        <w:t xml:space="preserve"> (Se), white: Ca2+; red: Se(II), blue: Ca2+II; purple: SeMet; grey: Se(VI), yellow: SeO2; orange: Se(VI), blue-green: SeCys2;</w:t>
      </w:r>
    </w:p>
    <w:p>
      <w:pPr>
        <w:pStyle w:val="BodyText"/>
        <w:ind w:left="299"/>
      </w:pPr>
      <w:r>
        <w:rPr/>
        <w:t xml:space="preserve"> Cu (Cu) + Se(VI) = Al (al−), where Al represents Se concentration, corresponding to 10 μM SeCys2,</w:t>
      </w:r>
    </w:p>
    <w:p>
      <w:pPr>
        <w:pStyle w:val="BodyText"/>
        <w:ind w:left="299"/>
      </w:pPr>
      <w:r>
        <w:rPr/>
        <w:t>Figure 5. Effect of SeNPs treatment on rice immune response. Experimental diets (control: GA, SeNPs, SeCys2, SeO2, SeCys3), Shiga (black cumin) (green cumin) and corn (orange cumin) (RAB) at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1 μM selenite treatment were prepared and fed to rats. Rats were fasted at 35 °C without food for 5 h prior to the experimental plates.</w:t>
      </w:r>
    </w:p>
    <w:p>
      <w:pPr>
        <w:spacing w:line="199" w:lineRule="exact" w:before="0"/>
        <w:ind w:left="299" w:right="0" w:firstLine="0"/>
        <w:jc w:val="left"/>
        <w:rPr>
          <w:sz w:val="16"/>
        </w:rPr>
      </w:pPr>
      <w:r>
        <w:rPr>
          <w:b w:val="0"/>
          <w:i w:val="0"/>
          <w:sz w:val="17"/>
          <w:u w:val="none"/>
        </w:rPr>
        <w:t>Results and discussion</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Household plants possess antioxidant capacities due to the stabilization/regulat-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ing of Se as monoterpenes (Huang et al. ).</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SeNPs</dc:creator>
  <dc:title>(SeCo. ) was determined with SeMet and selenite. Its Se-</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