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Althaea maculosa L. – Food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Tea Med</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Mucuna ambrosioides L. ( Morus alba )</w:t>
      </w:r>
      <w:r>
        <w:rPr>
          <w:spacing w:val="-33"/>
        </w:rPr>
      </w:r>
      <w:r>
        <w:rPr/>
      </w:r>
      <w:r>
        <w:rPr>
          <w:spacing w:val="-11"/>
        </w:rPr>
      </w:r>
      <w:r>
        <w:rPr/>
      </w:r>
    </w:p>
    <w:p>
      <w:pPr>
        <w:pStyle w:val="BodyText"/>
        <w:spacing w:before="8"/>
        <w:rPr>
          <w:sz w:val="17"/>
        </w:rPr>
      </w:pPr>
    </w:p>
    <w:p>
      <w:pPr>
        <w:pStyle w:val="Title"/>
      </w:pPr>
      <w:r>
        <w:rPr/>
        <w:t xml:space="preserve"> Eaten fresh Food : pickles Broth Food : pickles and</w:t>
      </w:r>
    </w:p>
    <w:p>
      <w:pPr>
        <w:pStyle w:val="Heading1"/>
        <w:spacing w:before="290"/>
        <w:ind w:left="585" w:right="411"/>
        <w:jc w:val="center"/>
      </w:pPr>
      <w:r>
        <w:rPr>
          <w:b w:val="0"/>
          <w:i w:val="0"/>
          <w:u w:val="none"/>
        </w:rPr>
        <w:t>Leaves Fresh fruits Dried parts Food: savoury pie filling 2 0 11%</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Beneficial and adverse effects on health of black</w:t>
      </w:r>
      <w:r>
        <w:rPr>
          <w:vertAlign w:val="baseline"/>
        </w:rPr>
      </w:r>
    </w:p>
    <w:p>
      <w:pPr>
        <w:spacing w:line="265" w:lineRule="exact" w:before="0"/>
        <w:ind w:left="586" w:right="407" w:firstLine="0"/>
        <w:jc w:val="center"/>
        <w:rPr>
          <w:sz w:val="23"/>
        </w:rPr>
      </w:pPr>
      <w:r>
        <w:rPr>
          <w:b w:val="0"/>
          <w:i w:val="0"/>
          <w:sz w:val="23"/>
          <w:u w:val="none"/>
          <w:vertAlign w:val="superscript"/>
        </w:rPr>
        <w:t>Salix alba L. (Salix) Nooch. (Khaqan)</w:t>
      </w:r>
      <w:r>
        <w:rPr>
          <w:sz w:val="23"/>
          <w:vertAlign w:val="baseline"/>
        </w:rPr>
      </w:r>
    </w:p>
    <w:p>
      <w:pPr>
        <w:pStyle w:val="Heading2"/>
        <w:spacing w:line="230" w:lineRule="auto" w:before="2"/>
        <w:ind w:left="1904" w:right="1723"/>
      </w:pPr>
      <w:r>
        <w:rPr>
          <w:b w:val="0"/>
          <w:i w:val="0"/>
          <w:w w:val="95"/>
          <w:u w:val="none"/>
          <w:vertAlign w:val="superscript"/>
        </w:rPr>
        <w:t xml:space="preserve">Beneficial and adverse effects on health of black cumin seeds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Salix nigra L. (Salix) Mor. (Khaqan)</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Black seeds (Urtica dioica) are commonly used as salad ingredient. The salt content was low. Some routine cheek blood</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blood samples were drawn from African Americans on a Sunday. The reduction in salt concentration decreases the vulgar alloxan tolerance of patients against hydrochloric acid in clinical practice.</w:t>
      </w:r>
      <w:r>
        <w:rPr/>
      </w:r>
    </w:p>
    <w:p>
      <w:pPr>
        <w:pStyle w:val="BodyText"/>
        <w:rPr>
          <w:sz w:val="22"/>
        </w:rPr>
      </w:pPr>
    </w:p>
    <w:p>
      <w:pPr>
        <w:pStyle w:val="Heading1"/>
        <w:spacing w:before="184"/>
      </w:pPr>
      <w:r>
        <w:rPr/>
        <w:t>Powder</w:t>
      </w:r>
    </w:p>
    <w:p>
      <w:pPr>
        <w:pStyle w:val="BodyText"/>
        <w:spacing w:before="1"/>
        <w:ind w:left="299" w:right="116"/>
        <w:jc w:val="both"/>
      </w:pPr>
      <w:r>
        <w:rPr>
          <w:b w:val="0"/>
          <w:i w:val="0"/>
          <w:u w:val="none"/>
        </w:rPr>
        <w:t>Catnip is the main crop of turducken. It was thoroughly prepared as a powder and served as salad ingredient.</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Regarding the salmon, there was reduction in alloxan tolerance test. The 3,6-Diene, Mixed Niacin, Zeatin, Vitamin C, Gallic Acid, Vitamin E, and Cholecalciferol, Leucine, Threonine, Riboﬂavin, and ureides were found to be reduced in salmon presented with blood bilirubin levels ≤6 mg/dl. The alcostane derivatives ureides (e.g., fluconazole</w:t>
      </w:r>
      <w:r>
        <w:rPr>
          <w:spacing w:val="-21"/>
        </w:rPr>
      </w:r>
      <w:r>
        <w:rPr/>
      </w:r>
    </w:p>
    <w:p>
      <w:pPr>
        <w:pStyle w:val="BodyText"/>
        <w:spacing w:before="10"/>
        <w:rPr>
          <w:sz w:val="17"/>
        </w:rPr>
      </w:pPr>
    </w:p>
    <w:p>
      <w:pPr>
        <w:pStyle w:val="Heading1"/>
      </w:pPr>
      <w:r>
        <w:rPr/>
        <w:t>Table 1 and 2.</w:t>
      </w:r>
    </w:p>
    <w:p>
      <w:pPr>
        <w:pStyle w:val="BodyText"/>
        <w:spacing w:before="3"/>
        <w:ind w:left="299" w:right="114"/>
        <w:jc w:val="both"/>
      </w:pPr>
      <w:r>
        <w:rPr>
          <w:b w:val="0"/>
          <w:i w:val="0"/>
          <w:u w:val="none"/>
        </w:rPr>
        <w:t>Effects of SeNPs on the behavior, morphology, cellularity, and oxidative stress markers of MCF7 mouse breast cells.</w:t>
      </w:r>
      <w:r>
        <w:rPr>
          <w:spacing w:val="-12"/>
        </w:rPr>
      </w:r>
      <w:r>
        <w:rPr/>
      </w:r>
    </w:p>
    <w:p>
      <w:pPr>
        <w:pStyle w:val="BodyText"/>
        <w:spacing w:before="1"/>
      </w:pPr>
    </w:p>
    <w:p>
      <w:pPr>
        <w:pStyle w:val="Heading4"/>
      </w:pPr>
      <w:r>
        <w:rPr/>
        <w:t xml:space="preserve"> Guides and references</w:t>
      </w:r>
    </w:p>
    <w:p>
      <w:pPr>
        <w:pStyle w:val="BodyText"/>
        <w:spacing w:line="235" w:lineRule="auto" w:before="3"/>
        <w:ind w:left="299" w:right="115"/>
        <w:jc w:val="both"/>
        <w:rPr>
          <w:sz w:val="19"/>
        </w:rPr>
      </w:pPr>
      <w:r>
        <w:rPr>
          <w:b w:val="0"/>
          <w:i w:val="0"/>
          <w:u w:val="none"/>
        </w:rPr>
        <w:t>Scala, A.P., Fiorella, L.G., Mazzolatti, A.G., Verri, T.M., Torelli, M., Procopio, F.R., et al. (2018). Lignocellulosic ﬁbre composites from Brassica juncea: Studies on their matrix and elastomeric attributes. Compos. Degrad. Integr. 78, 311–324.</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Kui , Y. , Arthur , D.A. , Tang , Q.</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Sha, L.L. (2014). Identification and characterization of neoglycoside A from Aloe barbadensis using LC-DAD-MS. J. Chromatogr. B 14, 160–170.</w:t>
      </w:r>
      <w:r>
        <w:rPr>
          <w:sz w:val="18"/>
        </w:rPr>
      </w:r>
      <w:r>
        <w:rPr>
          <w:sz w:val="19"/>
        </w:rPr>
      </w:r>
      <w:r>
        <w:rPr>
          <w:sz w:val="18"/>
        </w:rPr>
      </w:r>
    </w:p>
    <w:p>
      <w:pPr>
        <w:spacing w:line="228" w:lineRule="auto" w:before="2"/>
        <w:ind w:left="299" w:right="115" w:firstLine="0"/>
        <w:jc w:val="both"/>
        <w:rPr>
          <w:sz w:val="18"/>
        </w:rPr>
      </w:pPr>
      <w:r>
        <w:rPr>
          <w:b w:val="0"/>
          <w:i w:val="0"/>
          <w:sz w:val="18"/>
          <w:u w:val="none"/>
        </w:rPr>
        <w:t>Shankar, R.B., Gupta, M.V., Jain, R.G., Mishra, M.N., Khatri, R., Van, S., Jaggi-Akenash, B., Patel, I., Chakraborty, V., et al. (2009). Selenium uptake is the main mechanism for maintaining normal cellular development, immunity, and immunity responses against virus infection. Front. Immunol. 7, 137.</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Short, S.N., Kimball, R.M., Reed, J.S., Hickey, A.D., OHR Tisdall, D.S., Pardo, A.B., Xu, C., Yun, F.H., D'Amico, C.A., Hasler, M.T., Cuzich, L.K., Moran, R.N., &amp; Quavara, P.A. (2011). Modulatory effects of selenium on many cell types in response to BPH and influenza infection: A mechanistic view. Immunology 117, 253–259.</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Short, S.N., Kimball, R.M., Varyagavin, V.S.M., Kelly, A.D.C., Hickey, A.D., OHR Wieringa, R., Karlsson, D.B.,</w:t>
      </w:r>
    </w:p>
    <w:p>
      <w:pPr>
        <w:pStyle w:val="BodyText"/>
        <w:spacing w:before="4"/>
        <w:rPr>
          <w:sz w:val="17"/>
        </w:rPr>
      </w:pPr>
    </w:p>
    <w:p>
      <w:pPr>
        <w:pStyle w:val="Heading4"/>
      </w:pPr>
      <w:r>
        <w:rPr/>
        <w:t xml:space="preserve"> Tisdall , D.S.</w:t>
      </w:r>
    </w:p>
    <w:p>
      <w:pPr>
        <w:pStyle w:val="BodyText"/>
        <w:ind w:left="299" w:right="116"/>
        <w:jc w:val="both"/>
      </w:pPr>
      <w:r>
        <w:rPr/>
        <w:t xml:space="preserve"> Soyinka, A.A., Mukino, S., Kohonen, K. (2001). SeNPs synthesis and purification using maltose (E699) as growth medium for selenite–induced oligonucleotide synthesis.</w:t>
      </w:r>
    </w:p>
    <w:p>
      <w:pPr>
        <w:spacing w:line="228" w:lineRule="auto" w:before="0"/>
        <w:ind w:left="299" w:right="116" w:firstLine="0"/>
        <w:jc w:val="both"/>
        <w:rPr>
          <w:sz w:val="18"/>
        </w:rPr>
      </w:pPr>
      <w:r>
        <w:rPr>
          <w:b w:val="0"/>
          <w:i w:val="0"/>
          <w:sz w:val="18"/>
          <w:u w:val="none"/>
        </w:rPr>
        <w:t>Van Der Werf, C., Almeida, M., Stoyanov, I., Nielsen, B., Baltina, M.I., Isaacs, A.J., Eduarte, A., et al. (2014). Microbial meristems isolated from cherry tomato root superinfected by SeMet, which be-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xml:space="preserve"> In addition to its health promoting properties, selenate is a major component of a vast array of plant extracts from Mexican fruits. The present research investigated the white under-1st st element, resveratrol (RY), in YYB, YYB7, and YYB8, which were of different species and classes, and their potential health promoting capability against strawberry, peach, and coconut BPH through antioxidant, antibacterial, antimycobacterial, and hemagglutination signaling pathways.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Statistical</w:t>
      </w:r>
    </w:p>
    <w:p>
      <w:pPr>
        <w:spacing w:line="230" w:lineRule="auto" w:before="8"/>
        <w:ind w:left="299" w:right="114" w:firstLine="0"/>
        <w:jc w:val="both"/>
        <w:rPr>
          <w:sz w:val="18"/>
        </w:rPr>
      </w:pPr>
      <w:r>
        <w:rPr>
          <w:b w:val="0"/>
          <w:i w:val="0"/>
          <w:sz w:val="18"/>
          <w:u w:val="none"/>
        </w:rPr>
        <w:t>Data were subjected to analysis of variance using SPSS 19 (IBM Corporation). ANOVA was used to generate the Pearson’s correlation coeﬃcients between oxidation products, reflectance data, and serum biochemistry parameters. The results were compared using the ‘gcal’ package v. 4.0.12 (Pritts et al., 2013). The effects of interaction between time since inoculation and culture type on aromatic hydrolysis characteristics of SeMet were analyzed using an interaction effect test. The trend of increase in the total Se content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Table 1</w:t>
      </w:r>
    </w:p>
    <w:p>
      <w:pPr>
        <w:spacing w:line="230" w:lineRule="auto" w:before="2"/>
        <w:ind w:left="299" w:right="116" w:firstLine="0"/>
        <w:jc w:val="both"/>
        <w:rPr>
          <w:sz w:val="18"/>
        </w:rPr>
      </w:pPr>
      <w:r>
        <w:rPr>
          <w:b w:val="0"/>
          <w:i w:val="0"/>
          <w:sz w:val="18"/>
          <w:u w:val="none"/>
        </w:rPr>
        <w:t>Se(IV) concentration and retention were estimated by measuring their reduction at 20, 30, and 40 min after SeNPs extraction using different analytical methods: SeSH2 and Se(IV)·96 (Martinez-Montenegro and</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Pollard, ), PEA (Valiente et al., ), EO (Pollard et al., ), TBZ (López-Montenegro and Muntane, ), and filtered and unfiltered selenite (FSC)</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immediately after extraction. The combination treatment of Se(IV) with 10 µg/mL THFO extract also produced a significant decrease of total Se content. Statistical analysis was performed using SPSS 19 (IBM Corporation) with an SPSS v. 33 program (Magno, 2011) including serial bivariate data analysis.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values in the red, green, and blue regions/MS were plotted. For the analyses of antioxidant enzymes in the cytosol, an analysis was performed with GC–MS (OSRAM Plus 2500 GC GC, Maciejewski, ).</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Results and discussion</w:t>
      </w:r>
      <w:r>
        <w:rPr>
          <w:sz w:val="18"/>
        </w:rPr>
      </w:r>
    </w:p>
    <w:p>
      <w:pPr>
        <w:pStyle w:val="BodyText"/>
        <w:spacing w:before="10"/>
        <w:rPr>
          <w:sz w:val="17"/>
        </w:rPr>
      </w:pPr>
    </w:p>
    <w:p>
      <w:pPr>
        <w:pStyle w:val="Heading4"/>
      </w:pPr>
      <w:r>
        <w:rPr/>
        <w:t xml:space="preserve"> Elaboration of</w:t>
      </w:r>
    </w:p>
    <w:p>
      <w:pPr>
        <w:pStyle w:val="BodyText"/>
        <w:spacing w:line="235" w:lineRule="auto" w:before="3"/>
        <w:ind w:left="299" w:right="115"/>
        <w:jc w:val="both"/>
      </w:pPr>
      <w:r>
        <w:rPr>
          <w:b w:val="0"/>
          <w:i w:val="0"/>
          <w:u w:val="none"/>
        </w:rPr>
        <w:t>The acquisition of the effector genes or phenotype components responsible for the EO (F), the Se species in the root and shoot, the Se species in the nucleus, and the whole plant sample was attempted by sequencing the mRNA of 17 Se subunit subunits, including protease subunits about 165 sequences in total (Chen et al., ). Throughout the experiment, phenotypic traits by statistical analysis were never observed. The leaves were extracted in the dark and analyzed by gas chromatography using a standard GC–MS detector equipped with a sensitivity of 0.5–10 mA at 500 kV. None of the regions of the cultivated plants showed</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FIGU RE 13 Correlation analysis between SeNPs accumulation at media concentrations of 100 μg/mL and SeNPs transformation rates in leaves of spring and autumn varietal tomato. A) Variation by time since treatment (CT) in subcellular (i.e. micrometastyle, ferrules, and mesenthe) and macrofossil (i.e. pericarp) distribution, b) variations by genotype of the cultivar, c) differences by concentration of SeNPs, d) antioxidant enzyme activity, and e) partial variation in Se allocation in plants from different quantitative phenotyping methods. Error bars represent SD. Cell wall content analysis (y, blue circles) versus isolated selenoprotein (se), which represents pooling of SeMet and selenoprotein in the cytosol.</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Sample preparation EO and extraction</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Solid anther culture</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Fresh anthers ,</w:t>
      </w:r>
    </w:p>
    <w:p>
      <w:pPr>
        <w:spacing w:line="228" w:lineRule="auto" w:before="4"/>
        <w:ind w:left="299" w:right="118" w:firstLine="0"/>
        <w:jc w:val="both"/>
        <w:rPr>
          <w:sz w:val="18"/>
        </w:rPr>
      </w:pPr>
      <w:r>
        <w:rPr>
          <w:b w:val="0"/>
          <w:i w:val="0"/>
          <w:sz w:val="18"/>
          <w:u w:val="none"/>
        </w:rPr>
        <w:t>Figure 4. Keppner reaction of SeNPs (a) and SeMet (b) fractions in leaf and root samples as detected by GC–MS and mass spectrometry. Samples were dissolved in 75% ethanol (Abbreviations: SeOAc, Se preparation with ethanol; SeMet, Se modified form; MeSeCys, MeSe modification with methyl ester) and stored at 4 °C until western blotting.</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Water purification</w:t>
      </w:r>
    </w:p>
    <w:p>
      <w:pPr>
        <w:spacing w:line="230" w:lineRule="auto" w:before="8"/>
        <w:ind w:left="299" w:right="119" w:firstLine="0"/>
        <w:jc w:val="both"/>
        <w:rPr>
          <w:sz w:val="18"/>
        </w:rPr>
      </w:pPr>
      <w:r>
        <w:rPr>
          <w:b w:val="0"/>
          <w:i w:val="0"/>
          <w:sz w:val="18"/>
          <w:u w:val="none"/>
        </w:rPr>
        <w:t>Aqueous solution of 250 μL (that is, ~50 mg/mL) was turned into solid water using a separatory tap (water to volume ratio of 1–8 mL/min) with a cascade. The distilled water was settled into a mortar and pestle, 10 μL was added, 300 μL by vortexing, and the mixture was maintained at 4 °C during treatment. After 28 days in the suspension, the solution was filtered and concentrated using a cascade. The filtered RIN was quantiﬁed at 94.2%, which represented an average mass of 4.21 g. The RIN was deposited into 10 μL aliquots in a new distilled water (74 % F,</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Weighing of</w:t>
      </w:r>
    </w:p>
    <w:p>
      <w:pPr>
        <w:pStyle w:val="BodyText"/>
        <w:spacing w:before="3"/>
        <w:ind w:left="299" w:right="124"/>
        <w:jc w:val="both"/>
      </w:pPr>
      <w:r>
        <w:rPr/>
        <w:t>The diet consisted of plants of fern family, one each of vermicompost, dextrose, calcium carbonate, and reduced sulphur (HF), not to exceed</w:t>
      </w:r>
    </w:p>
    <w:p>
      <w:pPr>
        <w:pStyle w:val="BodyText"/>
        <w:spacing w:before="8"/>
        <w:rPr>
          <w:sz w:val="17"/>
        </w:rPr>
      </w:pPr>
    </w:p>
    <w:p>
      <w:pPr>
        <w:pStyle w:val="Heading1"/>
        <w:spacing w:before="1"/>
      </w:pPr>
      <w:r>
        <w:rPr/>
        <w:t xml:space="preserve"> 60 mg kg–1</w:t>
      </w:r>
    </w:p>
    <w:p>
      <w:pPr>
        <w:pStyle w:val="BodyText"/>
        <w:spacing w:before="3"/>
        <w:ind w:left="299"/>
      </w:pPr>
      <w:r>
        <w:rPr/>
        <w:t xml:space="preserve"> The low burning aimted thermometer (Thermo Scientiﬁc) with following EC50 values:</w:t>
      </w:r>
    </w:p>
    <w:p>
      <w:pPr>
        <w:pStyle w:val="BodyText"/>
        <w:spacing w:before="1"/>
        <w:ind w:left="299" w:right="2859"/>
      </w:pPr>
      <w:r>
        <w:rPr/>
        <w:t xml:space="preserve"> A digestion of the nutrient solution was carried out with distilled water and 80 % ethanol via a standard solution mixing with 3 g/L CaCl2 + 2 min. Extraction of Se content was done by a precision hydride method that</w:t>
      </w:r>
    </w:p>
    <w:p>
      <w:pPr>
        <w:pStyle w:val="BodyText"/>
        <w:ind w:left="299" w:right="115"/>
      </w:pPr>
      <w:r>
        <w:rPr/>
        <w:t xml:space="preserve"> ∗ Corresponding author at: Southwest Florida Water Management District, Florida Department of Environmental Protection, Kissimmee-Brickell Road &amp; Main Street, Coral Gables, FL 32611, USA.</w:t>
      </w:r>
    </w:p>
    <w:p>
      <w:pPr>
        <w:pStyle w:val="BodyText"/>
        <w:ind w:left="299" w:right="129"/>
      </w:pPr>
      <w:r>
        <w:rPr>
          <w:b w:val="0"/>
          <w:i w:val="0"/>
          <w:u w:val="none"/>
        </w:rPr>
        <w:t>∗ Corresponding author at: University of Florida, Gainesville, Florida, USA.</w:t>
      </w:r>
      <w:r>
        <w:rPr>
          <w:spacing w:val="-2"/>
        </w:rPr>
      </w:r>
      <w:r>
        <w:rPr/>
      </w:r>
    </w:p>
    <w:p>
      <w:pPr>
        <w:pStyle w:val="BodyText"/>
        <w:spacing w:line="217" w:lineRule="exact"/>
        <w:ind w:left="299"/>
      </w:pPr>
      <w:r>
        <w:rPr/>
        <w:t xml:space="preserve"> ∗ Corresponding author at: National Institute of Environmental Health Sciences, Food and Drug Administration, Rockville, MD 20852, USA.</w:t>
      </w:r>
    </w:p>
    <w:p>
      <w:pPr>
        <w:pStyle w:val="BodyText"/>
        <w:ind w:left="299" w:right="115"/>
      </w:pPr>
      <w:r>
        <w:rPr/>
        <w:t xml:space="preserve"> Author contributions: KW, MR, AL and AM designed and analyzed the survey. KW, MR, KS, AL, AL–AM, YB wrote the manuscript. KW and KJ performed the ﬁrst ﬁlter puriﬁcation and analyzed the plant materials. I and G analyzed plant samples. KW and YB processed the ﬁlter, collected the analytical ﬁlters and analyzed the plant materials.</w:t>
      </w:r>
    </w:p>
    <w:p>
      <w:pPr>
        <w:pStyle w:val="BodyText"/>
        <w:spacing w:before="1"/>
        <w:ind w:left="299"/>
      </w:pPr>
      <w:r>
        <w:rPr/>
        <w:t>Compliance with ethical standards: All authors read and approved the ﬁlter original manuscript.</w:t>
      </w:r>
    </w:p>
    <w:p>
      <w:pPr>
        <w:pStyle w:val="BodyText"/>
        <w:spacing w:line="217" w:lineRule="exact"/>
        <w:ind w:left="299"/>
      </w:pPr>
      <w:r>
        <w:rPr/>
        <w:t>This is an open access article distributed under the terms of the (CC BY) license).</w:t>
      </w:r>
    </w:p>
    <w:p>
      <w:pPr>
        <w:pStyle w:val="BodyText"/>
        <w:ind w:left="299" w:right="609"/>
      </w:pPr>
      <w:r>
        <w:rPr/>
        <w:t>Abbreviations: KH, native plants; LF, leaves; LDP, long-day dormant period; PP, short-day dormant period; GS, primary gomes; QD, day vegetative mass; ASB, annual vegetative mass; HFS, heterogeneous mixed metal assemblage.</w:t>
      </w:r>
    </w:p>
    <w:p>
      <w:pPr>
        <w:pStyle w:val="BodyText"/>
        <w:ind w:left="299" w:right="115"/>
      </w:pPr>
      <w:r>
        <w:rPr/>
        <w:t xml:space="preserve"> Acknowledgments: This research was supported by the State of Florida Department of Environmental Protection ($1,000 grant), State of Florida Long-Term Care Fund ($1,200 grant), Florida Fish and Wildlife Conservation Commission (Grant No.</w:t>
      </w:r>
    </w:p>
    <w:p>
      <w:pPr>
        <w:pStyle w:val="BodyText"/>
        <w:ind w:left="299"/>
      </w:pPr>
      <w:r>
        <w:rPr/>
        <w:t>Supplementary material for this article</w:t>
      </w:r>
    </w:p>
    <w:p>
      <w:pPr>
        <w:pStyle w:val="BodyText"/>
        <w:ind w:left="299"/>
      </w:pPr>
      <w:r>
        <w:rPr/>
        <w:t>Supplementary material associated with this article can be found, in the online version, at doi:.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Data availability This article has been deposited to the https://links.lww.com/pdf/MWoE1632201408004.</w:t>
      </w:r>
    </w:p>
    <w:p>
      <w:pPr>
        <w:spacing w:line="199" w:lineRule="exact" w:before="0"/>
        <w:ind w:left="299" w:right="0" w:firstLine="0"/>
        <w:jc w:val="left"/>
        <w:rPr>
          <w:sz w:val="16"/>
        </w:rPr>
      </w:pPr>
      <w:r>
        <w:rPr>
          <w:b w:val="0"/>
          <w:i w:val="0"/>
          <w:sz w:val="17"/>
          <w:u w:val="none"/>
        </w:rPr>
        <w:t>| CONFLICT OF INTEREST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 Where information differs from the article's own version, please include a link to where the data is available.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CONFLICT OF INTEREST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Because</dc:creator>
  <dc:title> Received 1 March 2020 ; Received in revised form</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