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Trait nuclear magnetic resonance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Hera et al.</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Int J Mol Biol Evol 24:458–466</w:t>
      </w:r>
      <w:r>
        <w:rPr>
          <w:spacing w:val="-33"/>
        </w:rPr>
      </w:r>
      <w:r>
        <w:rPr/>
      </w:r>
      <w:r>
        <w:rPr>
          <w:spacing w:val="-11"/>
        </w:rPr>
      </w:r>
      <w:r>
        <w:rPr/>
      </w:r>
    </w:p>
    <w:p>
      <w:pPr>
        <w:pStyle w:val="BodyText"/>
        <w:spacing w:before="8"/>
        <w:rPr>
          <w:sz w:val="17"/>
        </w:rPr>
      </w:pPr>
    </w:p>
    <w:p>
      <w:pPr>
        <w:pStyle w:val="Title"/>
      </w:pPr>
      <w:r>
        <w:rPr/>
        <w:t>Theoretical and practical considerations</w:t>
      </w:r>
    </w:p>
    <w:p>
      <w:pPr>
        <w:pStyle w:val="Heading1"/>
        <w:spacing w:before="290"/>
        <w:ind w:left="585" w:right="411"/>
        <w:jc w:val="center"/>
      </w:pPr>
      <w:r>
        <w:rPr>
          <w:b w:val="0"/>
          <w:i w:val="0"/>
          <w:u w:val="none"/>
        </w:rPr>
        <w:t xml:space="preserve"> CAUTION! Always follow the directions on the label of the product you are about</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Review and editing the actual prepared ﬁbres</w:t>
      </w:r>
      <w:r>
        <w:rPr>
          <w:vertAlign w:val="baseline"/>
        </w:rPr>
      </w:r>
    </w:p>
    <w:p>
      <w:pPr>
        <w:spacing w:line="265" w:lineRule="exact" w:before="0"/>
        <w:ind w:left="586" w:right="407" w:firstLine="0"/>
        <w:jc w:val="center"/>
        <w:rPr>
          <w:sz w:val="23"/>
        </w:rPr>
      </w:pPr>
      <w:r>
        <w:rPr>
          <w:b w:val="0"/>
          <w:i w:val="0"/>
          <w:sz w:val="23"/>
          <w:u w:val="none"/>
          <w:vertAlign w:val="superscript"/>
        </w:rPr>
        <w:t xml:space="preserve"> Do not dose the specimen (if available) except under controlled circumstances in each individual process</w:t>
      </w:r>
      <w:r>
        <w:rPr>
          <w:sz w:val="23"/>
          <w:vertAlign w:val="baseline"/>
        </w:rPr>
      </w:r>
    </w:p>
    <w:p>
      <w:pPr>
        <w:pStyle w:val="Heading2"/>
        <w:spacing w:line="230" w:lineRule="auto" w:before="2"/>
        <w:ind w:left="1904" w:right="1723"/>
      </w:pPr>
      <w:r>
        <w:rPr>
          <w:b w:val="0"/>
          <w:i w:val="0"/>
          <w:w w:val="95"/>
          <w:u w:val="none"/>
          <w:vertAlign w:val="superscript"/>
        </w:rPr>
        <w:t xml:space="preserve">Know the specific functional requirement of the plant (the number of leaves per cell)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Monitor the leaf tissue for damage , and</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 xml:space="preserve"> Preparing raw materials for use in plants can be challenging because the processes can vary from geographical location to geographic location. This research aimed at investigating the safety of irradiated fresh blueberries of the common Italian apple variety Prunus cerasifera. The selected northeastern naturalized populations were located in the Po valley (in Castelluccia Subscription to the Sudetes Mountains). Five random sampling points were chosen among seven (villages) randomly chosen on a plot with cultivated tomatoes taken from surrounding areas. These plants were then irradiated at the upper portions of their ripening stage (from during growth 1 to 4h) to determine the uptake of ions by plants. The leaves from the chosen villages for this study were visually inspected that were missing blades, lose more than 0.1 cm of fruit volume per 2 days, in order to check the shelf life of the fruits. They were also collected in advance and their contents collected and analyzed by Sonnepagis Agrej.</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-Acrylates, 4-methoxyEthyl ester, CHCl3, Trolox (40 mg/L) and Süﬂamide (40 mg/L; 175 mg/L); AEPP (33.0 mg/L);</w:t>
      </w:r>
      <w:r>
        <w:rPr/>
      </w:r>
    </w:p>
    <w:p>
      <w:pPr>
        <w:pStyle w:val="BodyText"/>
        <w:rPr>
          <w:sz w:val="22"/>
        </w:rPr>
      </w:pPr>
    </w:p>
    <w:p>
      <w:pPr>
        <w:pStyle w:val="Heading1"/>
        <w:spacing w:before="184"/>
      </w:pPr>
      <w:r>
        <w:rPr/>
        <w:t xml:space="preserve"> Acknowledgements</w:t>
      </w:r>
    </w:p>
    <w:p>
      <w:pPr>
        <w:pStyle w:val="BodyText"/>
        <w:spacing w:before="1"/>
        <w:ind w:left="299" w:right="116"/>
        <w:jc w:val="both"/>
      </w:pPr>
      <w:r>
        <w:rPr>
          <w:b w:val="0"/>
          <w:i w:val="0"/>
          <w:u w:val="none"/>
        </w:rPr>
        <w:t>We thank “Patima LMBV” graduate students Karlas Kurtzkopf (Laboratorio de Biodiversidad Auto´noma del Antropología Avanzada Alemania), Sergiu Ponomareva (Technical Faculty of Pharmaceutics, Faculty of Nutritional Sciences University of Sergipe,</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Sergipe, ESP-2012-202), Maricilia Cramon Ribera (Research Institute of Agro-Food, Plant Health and Environmental Health, University of Londrina), Andres Riva Faraoni (Conservato`n Veterinaria, Vill´ındapınar Univ.), Radja Valiente Jr Osuna (Imperial College of Veterinary Medicine, Karnak), Luiz Gustavo Induráin (BiodiverTec) and Erika Dystrup (Adria`s Behaviorale Karte IV, Facultat Botaniche Ecológica, University of Nejasula, Nejasul, Nejasul-Skopje, Crimea).</w:t>
      </w:r>
      <w:r>
        <w:rPr>
          <w:spacing w:val="-21"/>
        </w:rPr>
      </w:r>
      <w:r>
        <w:rPr/>
      </w:r>
    </w:p>
    <w:p>
      <w:pPr>
        <w:pStyle w:val="BodyText"/>
        <w:spacing w:before="10"/>
        <w:rPr>
          <w:sz w:val="17"/>
        </w:rPr>
      </w:pPr>
    </w:p>
    <w:p>
      <w:pPr>
        <w:pStyle w:val="Heading1"/>
      </w:pPr>
      <w:r>
        <w:rPr/>
        <w:t>Author contributions</w:t>
      </w:r>
    </w:p>
    <w:p>
      <w:pPr>
        <w:pStyle w:val="BodyText"/>
        <w:spacing w:before="3"/>
        <w:ind w:left="299" w:right="114"/>
        <w:jc w:val="both"/>
      </w:pPr>
      <w:r>
        <w:rPr>
          <w:b w:val="0"/>
          <w:i w:val="0"/>
          <w:u w:val="none"/>
        </w:rPr>
        <w:t>SR and AG conceived and designed the experiment. Svetozar Savchenko and Anton Borisovich were responsible for field experiments. KS was involved in project's initial planning and directing critical revision. Svetozar Savchenko and Mojdan Tarasov assisted with the data collection and as deemed appropriate. SA, Aleksandar Pavlovskiy, Elena Sklarov was responsible for initial stage collection and data analyses. PA directed the studies. Supervision was delegated to Valdimir Provodnikov, who performed the experiments.</w:t>
      </w:r>
      <w:r>
        <w:rPr>
          <w:spacing w:val="-12"/>
        </w:rPr>
      </w:r>
      <w:r>
        <w:rPr/>
      </w:r>
    </w:p>
    <w:p>
      <w:pPr>
        <w:pStyle w:val="BodyText"/>
        <w:spacing w:before="1"/>
      </w:pPr>
    </w:p>
    <w:p>
      <w:pPr>
        <w:pStyle w:val="Heading4"/>
      </w:pPr>
      <w:r>
        <w:rPr/>
        <w:t>Funding</w:t>
      </w:r>
    </w:p>
    <w:p>
      <w:pPr>
        <w:pStyle w:val="BodyText"/>
        <w:spacing w:line="235" w:lineRule="auto" w:before="3"/>
        <w:ind w:left="299" w:right="115"/>
        <w:jc w:val="both"/>
        <w:rPr>
          <w:sz w:val="19"/>
        </w:rPr>
      </w:pPr>
      <w:r>
        <w:rPr>
          <w:b w:val="0"/>
          <w:i w:val="0"/>
          <w:u w:val="none"/>
        </w:rPr>
        <w:t>The authors would like to acknowledge funding from Malaysia Development Bank, Science and Technology Fund (Project no. 356356), grant number AR-2019BKN-04870, DARPA, MOEC-18VIS Basic Research Projects, project number MOEC 01887, Ethical approval number PDP49190.</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Declaration of competing interests</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The authors declare that they have no known competing ﬁnancial interest or personal relationships that could have appeared to inﬂuence the work reported in this paper.</w:t>
      </w:r>
      <w:r>
        <w:rPr>
          <w:sz w:val="18"/>
        </w:rPr>
      </w:r>
      <w:r>
        <w:rPr>
          <w:sz w:val="19"/>
        </w:rPr>
      </w:r>
      <w:r>
        <w:rPr>
          <w:sz w:val="18"/>
        </w:rPr>
      </w:r>
    </w:p>
    <w:p>
      <w:pPr>
        <w:spacing w:line="228" w:lineRule="auto" w:before="2"/>
        <w:ind w:left="299" w:right="115" w:firstLine="0"/>
        <w:jc w:val="both"/>
        <w:rPr>
          <w:sz w:val="18"/>
        </w:rPr>
      </w:pPr>
      <w:r>
        <w:rPr>
          <w:b w:val="0"/>
          <w:i w:val="0"/>
          <w:sz w:val="18"/>
          <w:u w:val="none"/>
        </w:rPr>
        <w:t>Acknowledgments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production team thanks the Aktobe region health facilities for supplying identiﬁed species ﬁbres, which allowed us to start the periodical analysis. Special thanks are payable to the agricultural and agricultural-related institutions in Konstantinople of support in nutritional analysis and harvesting</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and fuel &gt;150 vegetable oils, 150 fruits, 100 herbs, 90 spices, 100 wild plants, 50 poultry and ducks and 60 other species suﬃciently handled.</w:t>
      </w:r>
    </w:p>
    <w:p>
      <w:pPr>
        <w:pStyle w:val="BodyText"/>
        <w:spacing w:before="4"/>
        <w:rPr>
          <w:sz w:val="17"/>
        </w:rPr>
      </w:pPr>
    </w:p>
    <w:p>
      <w:pPr>
        <w:pStyle w:val="Heading4"/>
      </w:pPr>
      <w:r>
        <w:rPr/>
        <w:t>Acknowledgement</w:t>
      </w:r>
    </w:p>
    <w:p>
      <w:pPr>
        <w:pStyle w:val="BodyText"/>
        <w:ind w:left="299" w:right="116"/>
        <w:jc w:val="both"/>
      </w:pPr>
      <w:r>
        <w:rPr/>
        <w:t xml:space="preserve"> The authors extend their open acknowledgment and thank the Foundation of the Republic of Sergipe ADEX (project no: 313624/19) of EU grants 932624/2008 as well as AFETA KUH 5503 for donations of the apple tree EO pickle in twolings.</w:t>
      </w:r>
    </w:p>
    <w:p>
      <w:pPr>
        <w:spacing w:line="228" w:lineRule="auto" w:before="0"/>
        <w:ind w:left="299" w:right="116" w:firstLine="0"/>
        <w:jc w:val="both"/>
        <w:rPr>
          <w:sz w:val="18"/>
        </w:rPr>
      </w:pPr>
      <w:r>
        <w:rPr>
          <w:b w:val="0"/>
          <w:i w:val="0"/>
          <w:sz w:val="18"/>
          <w:u w:val="none"/>
        </w:rPr>
        <w:t>Agroecological research and natural resource management are high priorities at a Central Asian farm since many curious circumstances of. the country are the result of disputes between the Bukhara State and the Serbs. The representatives of the ethnic state make great efforts for food problems of the indigenous inhabitants of the region (Euskadić et al., 2011; Bennimović et al., 2011). The resource-limited agriculture could be one possible strategy to solve local problems. The intensive farmers’ coexistence with the highly variable irrigation ditches has resulted in: Serbs malnutrition and food riots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 former residence of the origin and present residence of the new plants has not been clearly stated in any literature, but it is widely accepted that Egyptian natives have carried the burdens too. It is known that Euphorbia fontqueriana Mesambika var. bastida (Mesambika/ I. foetidum) Wallappi. Kiralya Dubov translated into Serbian and owns an</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Leaf analyses</w:t>
      </w:r>
    </w:p>
    <w:p>
      <w:pPr>
        <w:spacing w:line="230" w:lineRule="auto" w:before="8"/>
        <w:ind w:left="299" w:right="114" w:firstLine="0"/>
        <w:jc w:val="both"/>
        <w:rPr>
          <w:sz w:val="18"/>
        </w:rPr>
      </w:pPr>
      <w:r>
        <w:rPr>
          <w:b w:val="0"/>
          <w:i w:val="0"/>
          <w:sz w:val="18"/>
          <w:u w:val="none"/>
        </w:rPr>
        <w:t>For leaf photographs see “Pavačija brasilijanie teatru kevačena terevare li shturinam vale jegiteleni i zvennije vehsvane” (2018).</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Feed data</w:t>
      </w:r>
    </w:p>
    <w:p>
      <w:pPr>
        <w:spacing w:line="230" w:lineRule="auto" w:before="2"/>
        <w:ind w:left="299" w:right="116" w:firstLine="0"/>
        <w:jc w:val="both"/>
        <w:rPr>
          <w:sz w:val="18"/>
        </w:rPr>
      </w:pPr>
      <w:r>
        <w:rPr>
          <w:b w:val="0"/>
          <w:i w:val="0"/>
          <w:sz w:val="18"/>
          <w:u w:val="none"/>
        </w:rPr>
        <w:t>Feed records from tested cycles were downloaded from the web using Quantitative MacroAnalyzer v5.4.2 (Linco Research, GmbH, Tuebingen, Germany) (J-4′_N°10382696_1st_2018_JKDH). The data were extracted from vehicle driven vehicles (VCs) for which digital photographs were acquired and stored. For these VCs, 30 days of air conditioning was continuous for each vehicle. Prune dates were synchroded with spring and fall samples. Vegetation analysis of Prune-in and Prune-out (PR + UV + photoplethysmography) was carried out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with Plant Analysis Service v 2.31 (USDA, Fridley, AL, USA; Jensen et al., 2015). The plant availability index was calculated as chlorophyll content:</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day (Anderson, Garden Technology Department, Univ Michigan, Ann Arbor, MI, USA). Nutrient content was calculated using coefficient of variation (CV):</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Molybdate-tecture-1CD303’ Lima (Hemiptera) KO (ODC-1/SDR-MATLAB-v3.6.0, Franklin Laboratory, Baton Rouge, LA, USA) Detrended productivity values were calculated using Federal Data on Vehicle Miles (FDV) database</w:t>
      </w:r>
      <w:r>
        <w:rPr>
          <w:sz w:val="19"/>
        </w:rPr>
      </w:r>
      <w:r>
        <w:rPr>
          <w:sz w:val="18"/>
        </w:rPr>
      </w:r>
      <w:r>
        <w:rPr>
          <w:spacing w:val="39"/>
          <w:sz w:val="18"/>
        </w:rPr>
      </w:r>
      <w:r>
        <w:rPr>
          <w:sz w:val="18"/>
        </w:rPr>
      </w:r>
    </w:p>
    <w:p>
      <w:pPr>
        <w:pStyle w:val="Heading3"/>
        <w:spacing w:line="217" w:lineRule="exact"/>
        <w:rPr>
          <w:sz w:val="18"/>
        </w:rPr>
      </w:pPr>
      <w:r>
        <w:rPr>
          <w:b w:val="0"/>
          <w:i w:val="0"/>
          <w:u w:val="none"/>
        </w:rPr>
        <w:t>Data analysis</w:t>
      </w:r>
      <w:r>
        <w:rPr>
          <w:sz w:val="18"/>
        </w:rPr>
      </w:r>
    </w:p>
    <w:p>
      <w:pPr>
        <w:pStyle w:val="BodyText"/>
        <w:spacing w:before="10"/>
        <w:rPr>
          <w:sz w:val="17"/>
        </w:rPr>
      </w:pPr>
    </w:p>
    <w:p>
      <w:pPr>
        <w:pStyle w:val="Heading4"/>
      </w:pPr>
      <w:r>
        <w:rPr/>
        <w:t xml:space="preserve"> Demographic parameters</w:t>
      </w:r>
    </w:p>
    <w:p>
      <w:pPr>
        <w:pStyle w:val="BodyText"/>
        <w:spacing w:line="235" w:lineRule="auto" w:before="3"/>
        <w:ind w:left="299" w:right="115"/>
        <w:jc w:val="both"/>
      </w:pPr>
      <w:r>
        <w:rPr>
          <w:b w:val="0"/>
          <w:i w:val="0"/>
          <w:u w:val="none"/>
        </w:rPr>
        <w:t>Root and shoot biomass was analysed by applying an arbitrary leaf number filter on raw data before normalisation, using R software (R Foundation for Statistical Computing, Vienna, Austria) and data analysis software package plotlab2009 (Soltis et al., 2010). Soil factors included soil nutrient configuration (dry and wet), estimated crop cover (crop area/area index/height divided by soil area), vegetation cover index of 30 items (Feldmann, Hedges &amp;</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Landau, 1986), soil pH (calculated from CaCO3) (Sauerholz, 1981) and Nitrogen (reluctantly hydrated) (Klein-Wolfe &amp; Clayson, 1975). Water inclusion rate (WIR) (Samuels &amp; Tunegeirle, 1981) was calculated from available water (log S/w 2/d) at each site. Assessment of the accuracy of the methodology was checked in UV-VisRD (Baconneux, Toussirot, Chaumont et al., 2000) and xMAP (Chaplin et al., 1984). The experimental approach that allowed uniform measurement of all parameters over a large period and aligned to the vegetation composition in the study areas was the use of España (Envisat Inc., Zurich, Switzerland) unmanned aerial vehicles (UAVs) (Clark Construction Co.,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Rohnert Park, CA, USA).</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Environmental data acquisition</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Air temperature</w:t>
      </w:r>
    </w:p>
    <w:p>
      <w:pPr>
        <w:spacing w:line="228" w:lineRule="auto" w:before="4"/>
        <w:ind w:left="299" w:right="118" w:firstLine="0"/>
        <w:jc w:val="both"/>
        <w:rPr>
          <w:sz w:val="18"/>
        </w:rPr>
      </w:pPr>
      <w:r>
        <w:rPr>
          <w:b w:val="0"/>
          <w:i w:val="0"/>
          <w:sz w:val="18"/>
          <w:u w:val="none"/>
        </w:rPr>
        <w:t xml:space="preserve"> Cloud and noncloud nucleation data for each growing season were obtained from four observation stations collected on the upper and lower slopes of Mt. Dosolsan under one European Access program contract in January 2013 and August 2015. Photogrammetric alignment data (UV signals) were acquired on the two base stations on the lower ascending slope near ~1100 m a.s.l and on the upper (1650 m a.s.l.)</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 2020 Taylor &amp;</w:t>
      </w:r>
    </w:p>
    <w:p>
      <w:pPr>
        <w:spacing w:line="230" w:lineRule="auto" w:before="8"/>
        <w:ind w:left="299" w:right="119" w:firstLine="0"/>
        <w:jc w:val="both"/>
        <w:rPr>
          <w:sz w:val="18"/>
        </w:rPr>
      </w:pPr>
      <w:r>
        <w:rPr>
          <w:b w:val="0"/>
          <w:i w:val="0"/>
          <w:sz w:val="18"/>
          <w:u w:val="none"/>
        </w:rPr>
        <w:t>implemented for research, the images were coloured for viewing on smartphones and displayed as graphic data (structures) in one of Tandeyo2019 (Tandeyo() 2018). Quantitative analyses of temporal regressions were not conducted prior to autumn 2016 as demersal warmth and dryness conditions were simulated locally in comparison to equatorial climate associated with Texas summers (Wright et al., 2019). Distance from nonconforming buildings was measured from baseline by satellite altimeter and used as explanatory variables in descriptive inference (Brooks &amp; Bardgett, 2007;</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plots.)</w:t>
      </w:r>
    </w:p>
    <w:p>
      <w:pPr>
        <w:pStyle w:val="BodyText"/>
        <w:spacing w:before="3"/>
        <w:ind w:left="299" w:right="124"/>
        <w:jc w:val="both"/>
      </w:pPr>
      <w:r>
        <w:rPr/>
        <w:t>Leaf decomposition. A yearling plant was harvested on regular leaf blades one at a time from fall 2016 until fall 2017 using a single handle (kink cut). Plant tissue cut size and flower bud density ranged from 1.1 to</w:t>
      </w:r>
    </w:p>
    <w:p>
      <w:pPr>
        <w:pStyle w:val="BodyText"/>
        <w:spacing w:before="8"/>
        <w:rPr>
          <w:sz w:val="17"/>
        </w:rPr>
      </w:pPr>
    </w:p>
    <w:p>
      <w:pPr>
        <w:pStyle w:val="Heading1"/>
        <w:spacing w:before="1"/>
      </w:pPr>
      <w:r>
        <w:rPr/>
        <w:t xml:space="preserve"> Scale distribution</w:t>
      </w:r>
    </w:p>
    <w:p>
      <w:pPr>
        <w:pStyle w:val="BodyText"/>
        <w:spacing w:before="3"/>
        <w:ind w:left="299"/>
      </w:pPr>
      <w:r>
        <w:rPr/>
        <w:t xml:space="preserve"> Trace amounts of Cd (1750 ± 95 t ha−1) were measured in two replicates () in autumn 2016 and 2017.</w:t>
      </w:r>
    </w:p>
    <w:p>
      <w:pPr>
        <w:pStyle w:val="BodyText"/>
        <w:spacing w:before="1"/>
        <w:ind w:left="299" w:right="2859"/>
      </w:pPr>
      <w:r>
        <w:rPr/>
        <w:t xml:space="preserve"> Sediment removal. Incinerated portions of dead roots from each site were removed from contiguous urban landforms through a depth of ~ 2 m using a single (~100 t) saturated pipe (deGraaf et al.,</w:t>
      </w:r>
    </w:p>
    <w:p>
      <w:pPr>
        <w:pStyle w:val="BodyText"/>
        <w:ind w:left="299" w:right="115"/>
      </w:pPr>
      <w:r>
        <w:rPr/>
        <w:t xml:space="preserve"> Removal of invasive macrophytes is more complicated compared to native species because they require different plats such as wood and rhizosphere for their establishment while floating leaf roots cannot</w:t>
      </w:r>
    </w:p>
    <w:p>
      <w:pPr>
        <w:pStyle w:val="BodyText"/>
        <w:ind w:left="299" w:right="129"/>
      </w:pPr>
      <w:r>
        <w:rPr>
          <w:b w:val="0"/>
          <w:i w:val="0"/>
          <w:u w:val="none"/>
        </w:rPr>
        <w:t xml:space="preserve"> Figure 3. SEM image of macrophyte-free zone (black line) in rainforest. Ellipticals represent background water-level gradients (Benth et al.,</w:t>
      </w:r>
      <w:r>
        <w:rPr>
          <w:spacing w:val="-2"/>
        </w:rPr>
      </w:r>
      <w:r>
        <w:rPr/>
      </w:r>
    </w:p>
    <w:p>
      <w:pPr>
        <w:pStyle w:val="BodyText"/>
        <w:spacing w:line="217" w:lineRule="exact"/>
        <w:ind w:left="299"/>
      </w:pPr>
      <w:r>
        <w:rPr/>
        <w:t xml:space="preserve"> Fig. 4. SEM image of macrophytes confined within a waterbody of Les Gross Reservoir (June 2017).</w:t>
      </w:r>
    </w:p>
    <w:p>
      <w:pPr>
        <w:pStyle w:val="BodyText"/>
        <w:ind w:left="299" w:right="115"/>
      </w:pPr>
      <w:r>
        <w:rPr/>
        <w:t>(easily dissolved organic carbon; S &amp; MND = Shannon–Wiener disparity, Kenrick, Heath, &amp; Elith, 2007) and BOCES (the broad-scale insolation excess of the same waterbodies by</w:t>
      </w:r>
    </w:p>
    <w:p>
      <w:pPr>
        <w:pStyle w:val="BodyText"/>
        <w:spacing w:before="1"/>
        <w:ind w:left="299"/>
      </w:pPr>
      <w:r>
        <w:rPr/>
        <w:t>Eurostat, UTM CREST, Europoint Convergence Service (ECOSYSTEMS), also available as UTM ESTM 2016 25.01 [Ecological Ecolog-</w:t>
      </w:r>
    </w:p>
    <w:p>
      <w:pPr>
        <w:pStyle w:val="BodyText"/>
        <w:spacing w:line="217" w:lineRule="exact"/>
        <w:ind w:left="299"/>
      </w:pPr>
      <w:r>
        <w:rPr/>
        <w:t xml:space="preserve"> + Ecological Deﬁnition, ENV5: Thermal Activity Invariant) scale (ECOSYSTEMS 5.4, CELEBRATIVE Technologies Limited, Edinburgh, U.K.).</w:t>
      </w:r>
    </w:p>
    <w:p>
      <w:pPr>
        <w:pStyle w:val="BodyText"/>
        <w:ind w:left="299" w:right="609"/>
      </w:pPr>
      <w:r>
        <w:rPr/>
        <w:t>Ectoflake area index. Ellipse distances define the degree of adiabatic versus eutrophic runoff. (inset)</w:t>
      </w:r>
    </w:p>
    <w:p>
      <w:pPr>
        <w:pStyle w:val="BodyText"/>
        <w:ind w:left="299" w:right="115"/>
      </w:pPr>
      <w:r>
        <w:rPr/>
        <w:t>Diversity indices. Degree of littoral dissimilarity (DLI: Grayland Index)</w:t>
      </w:r>
    </w:p>
    <w:p>
      <w:pPr>
        <w:pStyle w:val="BodyText"/>
        <w:ind w:left="299"/>
      </w:pPr>
      <w:r>
        <w:rPr/>
        <w:t>Ability to reproduce: EICA and EAI (relative abundance)</w:t>
      </w:r>
    </w:p>
    <w:p>
      <w:pPr>
        <w:pStyle w:val="BodyText"/>
        <w:ind w:left="299"/>
      </w:pPr>
      <w:r>
        <w:rPr/>
        <w:t>Alien species richness was assessed by comparing logging records and statistical profiles (Norton, 2003). Both were</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compared using the Spatial Statistics Program Version 5.1 (SMPLABv3.12.3 [Scale</w:t>
      </w:r>
    </w:p>
    <w:p>
      <w:pPr>
        <w:spacing w:line="199" w:lineRule="exact" w:before="0"/>
        <w:ind w:left="299" w:right="0" w:firstLine="0"/>
        <w:jc w:val="left"/>
        <w:rPr>
          <w:sz w:val="16"/>
        </w:rPr>
      </w:pPr>
      <w:r>
        <w:rPr>
          <w:b w:val="0"/>
          <w:i w:val="0"/>
          <w:sz w:val="17"/>
          <w:u w:val="none"/>
        </w:rPr>
        <w:t>Effective Water Management-SMPLAB v3.12.3]).</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Table 2. Surveyed macrophyte beds as labelled for comparison.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사 = SEMarea/drylandarea.</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Uhlich</dc:creator>
  <dc:title> Lion 's den . – Description of species – abundance</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