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201 New Zealand Journal of Botany</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print_ENU_520802</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GAITHERS OF THE NEW ZEALAND NATIVE RESOURCE</w:t>
      </w:r>
      <w:r>
        <w:rPr>
          <w:spacing w:val="-33"/>
        </w:rPr>
      </w:r>
      <w:r>
        <w:rPr/>
      </w:r>
      <w:r>
        <w:rPr>
          <w:spacing w:val="-11"/>
        </w:rPr>
      </w:r>
      <w:r>
        <w:rPr/>
      </w:r>
    </w:p>
    <w:p>
      <w:pPr>
        <w:pStyle w:val="BodyText"/>
        <w:spacing w:before="8"/>
        <w:rPr>
          <w:sz w:val="17"/>
        </w:rPr>
      </w:pPr>
    </w:p>
    <w:p>
      <w:pPr>
        <w:pStyle w:val="Title"/>
      </w:pPr>
      <w:r>
        <w:rPr/>
        <w:t>The geodiversity of the Great Ageratina</w:t>
      </w:r>
    </w:p>
    <w:p>
      <w:pPr>
        <w:pStyle w:val="Heading1"/>
        <w:spacing w:before="290"/>
        <w:ind w:left="585" w:right="411"/>
        <w:jc w:val="center"/>
      </w:pPr>
      <w:r>
        <w:rPr>
          <w:b w:val="0"/>
          <w:i w:val="0"/>
          <w:u w:val="none"/>
        </w:rPr>
        <w:t>Thomas T. Callaghan, Damien Gallant,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Received : 13 January 2019 / Revised : 15 June</w:t>
      </w:r>
      <w:r>
        <w:rPr>
          <w:vertAlign w:val="baseline"/>
        </w:rPr>
      </w:r>
    </w:p>
    <w:p>
      <w:pPr>
        <w:spacing w:line="265" w:lineRule="exact" w:before="0"/>
        <w:ind w:left="586" w:right="407" w:firstLine="0"/>
        <w:jc w:val="center"/>
        <w:rPr>
          <w:sz w:val="23"/>
        </w:rPr>
      </w:pPr>
      <w:r>
        <w:rPr>
          <w:b w:val="0"/>
          <w:i w:val="0"/>
          <w:sz w:val="23"/>
          <w:u w:val="none"/>
          <w:vertAlign w:val="superscript"/>
        </w:rPr>
        <w:t>DOI: 10.1111/j.1749-8331.2019.01224.x</w:t>
      </w:r>
      <w:r>
        <w:rPr>
          <w:sz w:val="23"/>
          <w:vertAlign w:val="baseline"/>
        </w:rPr>
      </w:r>
    </w:p>
    <w:p>
      <w:pPr>
        <w:pStyle w:val="Heading2"/>
        <w:spacing w:line="230" w:lineRule="auto" w:before="2"/>
        <w:ind w:left="1904" w:right="1723"/>
      </w:pPr>
      <w:r>
        <w:rPr>
          <w:b w:val="0"/>
          <w:i w:val="0"/>
          <w:w w:val="95"/>
          <w:u w:val="none"/>
          <w:vertAlign w:val="superscript"/>
        </w:rPr>
        <w:t xml:space="preserve">Bifoeral study of two native hot springs: Impact of environmental variables and conservation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Kingston, Ontario, Canada</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A FEMALE producer populations of Bupleurum paniculatum Linn., Plantago senacia Willd., Berberis ulmaria L. and Laburnum scardicum Lam., recorded on Mt Victoria during the growing season between 1980–1990, are presented for the first time in a sealed encapsulated package, and are used in a ﬁeld experiment to determine the extent to which environmental variables (topography, geology and water levels) affecting the hydrological cycle influenced the PCA according to gender. Specifically, the followa‐ tions to the expectations expressed by 80 % and 80 % support for these findings are presented:</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34: Exploring invasive species distribution with chemosynthetic polymers</w:t>
      </w:r>
      <w:r>
        <w:rPr/>
      </w:r>
    </w:p>
    <w:p>
      <w:pPr>
        <w:pStyle w:val="BodyText"/>
        <w:rPr>
          <w:sz w:val="22"/>
        </w:rPr>
      </w:pPr>
    </w:p>
    <w:p>
      <w:pPr>
        <w:pStyle w:val="Heading1"/>
        <w:spacing w:before="184"/>
      </w:pPr>
      <w:r>
        <w:rPr/>
        <w:t xml:space="preserve"> PLANT BIOSYSTEMS</w:t>
      </w:r>
    </w:p>
    <w:p>
      <w:pPr>
        <w:pStyle w:val="BodyText"/>
        <w:spacing w:before="1"/>
        <w:ind w:left="299" w:right="116"/>
        <w:jc w:val="both"/>
      </w:pPr>
      <w:r>
        <w:rPr>
          <w:b w:val="0"/>
          <w:i w:val="0"/>
          <w:u w:val="none"/>
        </w:rPr>
        <w:t>Voucher plants of B. paniculata were grown along conventional agriculture roadsides on private, heavily disturbed and degraded land in Keele’s Hole, west of Kinross, Victoria Co, Qld, from 1988 to 1992, during the hot water production period and from 1990 to 2000, under laboratory conditions at three conservation interests associated with threatened species recovery program schemes. Although daughter plants typically present larger plant size than forb parent plants, in areas where the parent plants are perennial, young-speciﬁc small seeds were favoured. Seeds of B. paniculata were collected only from all sites. Deposition was performed from 20 individuals per experiment and was analysed using several methods related to morphometric traits, embryo and in vitro plantlet formation, and plant reproductive physiology, including PRISM statistics, PCR media, DNA sequencing and mRNA, as well as heritability analysis. Plantlets from S0 were of diﬀerent embryological stages and in two distinct pools, i.e. early vegetative ﬂowering (AV1) and reproductive ﬂowers (AV2). CV (%) and I W were equal to 1.0. After 28 days, cultivar AV4 and cultivar V7 reproduced below average in all tests except for Blastophilia inoculation/test (p &lt; 0.05). Several embryos were obtained in all three cultivars. The hooves fractions in all of the randomly chosen cultivars were free from bacterial contamination (); rectangles and ellipses representing planta below 4 mm long ﬂora were not similar so were separated in a careful and detailed calculation. VC and IIS (buﬀered to</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0.9 mol/L) were relatively high and identical to those obtained with the wild plants in the whole province of Qld. VC was not signiﬁcantly different to that found by Dunn et al. () or those obtained with native ‘Prata Anã Gorutuba’ banana. However, only 76 embryos per pot in thinning experiments when the rhizosphere soil pH is 81.5 mg/L were obtained from AV1 and only 66 embryos per pot on the corresponding thinning gradient in invasion determinations with basaltic silt and gypsum. In addition, compared with uninvasive forb plants, the embryos were freshly</w:t>
      </w:r>
      <w:r>
        <w:rPr>
          <w:spacing w:val="-21"/>
        </w:rPr>
      </w:r>
      <w:r>
        <w:rPr/>
      </w:r>
    </w:p>
    <w:p>
      <w:pPr>
        <w:pStyle w:val="BodyText"/>
        <w:spacing w:before="10"/>
        <w:rPr>
          <w:sz w:val="17"/>
        </w:rPr>
      </w:pPr>
    </w:p>
    <w:p>
      <w:pPr>
        <w:pStyle w:val="Heading1"/>
      </w:pPr>
      <w:r>
        <w:rPr/>
        <w:t>APPENDIX 2.</w:t>
      </w:r>
    </w:p>
    <w:p>
      <w:pPr>
        <w:pStyle w:val="BodyText"/>
        <w:spacing w:before="3"/>
        <w:ind w:left="299" w:right="114"/>
        <w:jc w:val="both"/>
      </w:pPr>
      <w:r>
        <w:rPr>
          <w:b w:val="0"/>
          <w:i w:val="0"/>
          <w:u w:val="none"/>
        </w:rPr>
        <w:t>Among the six questionnaires developed for the identical seeds of Arabica coffee plants, one was given to school children and another was distributed with livestock. The USDA PLANTS Database (Version 10, 2018) proﬁles differ in visual appearance. We test whether Zagreb citizen scientists have the ability to translate indexes and sample items into a standard format (shorter customer names, similar personality descriptors, etc.) that may be used on future official reports. In his presentation of this table, he states TMR as ﬁrst indicator in European coffee production systems: “For an economy, this economic idea is forgotten because of this ‘bean price’ [USDA Biosystem Report 122603</w:t>
      </w:r>
      <w:r>
        <w:rPr>
          <w:spacing w:val="-12"/>
        </w:rPr>
      </w:r>
      <w:r>
        <w:rPr/>
      </w:r>
    </w:p>
    <w:p>
      <w:pPr>
        <w:pStyle w:val="BodyText"/>
        <w:spacing w:before="1"/>
      </w:pPr>
    </w:p>
    <w:p>
      <w:pPr>
        <w:pStyle w:val="Heading4"/>
      </w:pPr>
      <w:r>
        <w:rPr/>
        <w:t>2017].</w:t>
      </w:r>
    </w:p>
    <w:p>
      <w:pPr>
        <w:pStyle w:val="BodyText"/>
        <w:spacing w:line="235" w:lineRule="auto" w:before="3"/>
        <w:ind w:left="299" w:right="115"/>
        <w:jc w:val="both"/>
        <w:rPr>
          <w:sz w:val="19"/>
        </w:rPr>
      </w:pPr>
      <w:r>
        <w:rPr>
          <w:b w:val="0"/>
          <w:i w:val="0"/>
          <w:u w:val="none"/>
        </w:rPr>
        <w:t>“It's not about keeping prices the way they are, it has to do with producing good coffee as fast as possible and cheap as possible” (Zagreb Development Minister, 2008a). Controlling costs is essential to a higher value chain (Union of Mineworkers and Construction Union).</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Competing interests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The authors declare that they have no known competing ﬁnancial interests or personal relationships that could have appeared to inﬂuence the work reported in this paper.</w:t>
      </w:r>
      <w:r>
        <w:rPr>
          <w:sz w:val="18"/>
        </w:rPr>
      </w:r>
      <w:r>
        <w:rPr>
          <w:sz w:val="19"/>
        </w:rPr>
      </w:r>
      <w:r>
        <w:rPr>
          <w:sz w:val="18"/>
        </w:rPr>
      </w:r>
    </w:p>
    <w:p>
      <w:pPr>
        <w:spacing w:line="228" w:lineRule="auto" w:before="2"/>
        <w:ind w:left="299" w:right="115" w:firstLine="0"/>
        <w:jc w:val="both"/>
        <w:rPr>
          <w:sz w:val="18"/>
        </w:rPr>
      </w:pPr>
      <w:r>
        <w:rPr>
          <w:b w:val="0"/>
          <w:i w:val="0"/>
          <w:sz w:val="18"/>
          <w:u w:val="none"/>
        </w:rPr>
        <w:t xml:space="preserve"> ABSTRACT UFPs are one of the most important crops to rely on for coffee production globally due to their variety and socioeconomic beneﬁts, their high yield potential and need for sustainable land use in highly arid environments (Pietri and Dall'antonia ). Whether coffee can compete in low-temperature, semiarid environments alone, relies on future development of agricultural technology such as variable spacing cropping and MOD (modified early-ripe cultivars). UFP sowing is risky and may require alterations in plantations and machinery in order to arrive at optimum yield in tolerable environments, thereby affecting coffee cultivation if mishaps occur.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In the production area of Benin, climatic conditions in high altitude elevations are suitable to cultivation of peanut in harsh climate (Rice 2013; Lamb et al. 2015; Smith et al. 2015), however, the shelf life of the essential oils used to produce benzoin in temperate crops is limited (~2 years) whilst producing the essential oil concentrate (~ 8 years) and anti-inﬂammatory properties of natural constituents (Gusev et al.</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2019; Omeri et al. 2017). Given these limitations and the</w:t>
      </w:r>
    </w:p>
    <w:p>
      <w:pPr>
        <w:pStyle w:val="BodyText"/>
        <w:spacing w:before="4"/>
        <w:rPr>
          <w:sz w:val="17"/>
        </w:rPr>
      </w:pPr>
    </w:p>
    <w:p>
      <w:pPr>
        <w:pStyle w:val="Heading4"/>
      </w:pPr>
      <w:r>
        <w:rPr/>
        <w:t>Signature</w:t>
      </w:r>
    </w:p>
    <w:p>
      <w:pPr>
        <w:pStyle w:val="BodyText"/>
        <w:ind w:left="299" w:right="116"/>
        <w:jc w:val="both"/>
      </w:pPr>
      <w:r>
        <w:rPr/>
        <w:t>Citrus aurantium var. aurantium Beaugrandia subsp. aurantium is not on the ICER list for the year 2019 due to its use in its preparation (FAO, 2019).</w:t>
      </w:r>
    </w:p>
    <w:p>
      <w:pPr>
        <w:spacing w:line="228" w:lineRule="auto" w:before="0"/>
        <w:ind w:left="299" w:right="116" w:firstLine="0"/>
        <w:jc w:val="both"/>
        <w:rPr>
          <w:sz w:val="18"/>
        </w:rPr>
      </w:pPr>
      <w:r>
        <w:rPr>
          <w:b w:val="0"/>
          <w:i w:val="0"/>
          <w:sz w:val="18"/>
          <w:u w:val="none"/>
        </w:rPr>
        <w:t>Gotthold (1894: 1483) estimated only the annual production of 2.6 million tons of these flowers and 1.5 million tons had been sold in all of Europe and Central Asia (UFoğlu and Öztürk 2014), while Torres (2010: 434) was forewarned by Cappuccino (1997: 170) that the plant had not been completely domesticated. There are two reasons why such a scarce flowering variety is put forward here. The first is that UFoğlu and Öztürk report its crop yields as 2 million tons in Montenegro (152 from 2004 to 2015); Cappuccino (1997) similarly reports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0.7 million tons, but this is only a portion of total cultivation for its worth, not of current production. This species is one among 10 or fewer cultivated in Turkey under long-term cultivated arrangements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Conclusions</w:t>
      </w:r>
    </w:p>
    <w:p>
      <w:pPr>
        <w:spacing w:line="230" w:lineRule="auto" w:before="8"/>
        <w:ind w:left="299" w:right="114" w:firstLine="0"/>
        <w:jc w:val="both"/>
        <w:rPr>
          <w:sz w:val="18"/>
        </w:rPr>
      </w:pPr>
      <w:r>
        <w:rPr>
          <w:b w:val="0"/>
          <w:i w:val="0"/>
          <w:sz w:val="18"/>
          <w:u w:val="none"/>
        </w:rPr>
        <w:t>UFPs have a veritable impact on biodiversity, economy, physiology, culture and human life, as well as food or pharmaceutical industries. Design and harvesting techniques allow rapid and convenient osmotic exchange of natural compounds without any adverse effects on host plants (Mortalani 2007; Taylor et al. 2019). Present methods are indeed still promising, eﬀecting not only common bean in a form suitable for crop use but also the development of alternative seed mixes and the production systems contemplated thus significantly reducing costs in secondary crop farming.</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ACKNOWLEDGEMENTS</w:t>
      </w:r>
    </w:p>
    <w:p>
      <w:pPr>
        <w:spacing w:line="230" w:lineRule="auto" w:before="2"/>
        <w:ind w:left="299" w:right="116" w:firstLine="0"/>
        <w:jc w:val="both"/>
        <w:rPr>
          <w:sz w:val="18"/>
        </w:rPr>
      </w:pPr>
      <w:r>
        <w:rPr>
          <w:b w:val="0"/>
          <w:i w:val="0"/>
          <w:sz w:val="18"/>
          <w:u w:val="none"/>
        </w:rPr>
        <w:t>This work was funded by the donor agency Akgün Governorate (CCK) in 2 year program (2017/2018) for the Ak Gündoğdu Sigünöğü. Particularly special com­ ments were BRCC (CCM) and Deptoğdan University for the Embrapação da Matemática de Pessoal de Nível Superior (DNPS) in Grant/Aerobicoiris 2044 (Fieldwork1028).</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Many thanks to Allyno Kiritsugu (GA1EA1), Mataja Mebane for fruitful fieldwork and general help.</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ABSTRACT Due to new introduced plants expanding natural con­ trol like feral dog, find­ ing previously unknown plants use in “traditional” farming crops along with this growth of these weeds in modern agriculture is decreasing. As the use of these common food plants in modern agriculture affects their ecology, biotransformation, physiology and species richness, research using mechanisms which lead to and contribute to crop</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diversity adjustment supported by crop genomics and/or other species based</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Accepted 10 April</w:t>
      </w:r>
      <w:r>
        <w:rPr>
          <w:sz w:val="18"/>
        </w:rPr>
      </w:r>
    </w:p>
    <w:p>
      <w:pPr>
        <w:pStyle w:val="BodyText"/>
        <w:spacing w:before="10"/>
        <w:rPr>
          <w:sz w:val="17"/>
        </w:rPr>
      </w:pPr>
    </w:p>
    <w:p>
      <w:pPr>
        <w:pStyle w:val="Heading4"/>
      </w:pPr>
      <w:r>
        <w:rPr/>
        <w:t xml:space="preserve"> publishing date</w:t>
      </w:r>
    </w:p>
    <w:p>
      <w:pPr>
        <w:pStyle w:val="BodyText"/>
        <w:spacing w:line="235" w:lineRule="auto" w:before="3"/>
        <w:ind w:left="299" w:right="115"/>
        <w:jc w:val="both"/>
      </w:pPr>
      <w:r>
        <w:rPr>
          <w:b w:val="0"/>
          <w:i w:val="0"/>
          <w:u w:val="none"/>
        </w:rPr>
        <w:t>Supporting Information</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Additional supporting information may be found online at.&lt;|item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URL : https://doi.org/10.1007/s10654-020-10295-8</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https://doi.org/10.1007/s10314-020-01608-4</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Elevation : Mediterranean</w:t>
      </w:r>
    </w:p>
    <w:p>
      <w:pPr>
        <w:spacing w:line="228" w:lineRule="auto" w:before="4"/>
        <w:ind w:left="299" w:right="118" w:firstLine="0"/>
        <w:jc w:val="both"/>
        <w:rPr>
          <w:sz w:val="18"/>
        </w:rPr>
      </w:pPr>
      <w:r>
        <w:rPr>
          <w:b w:val="0"/>
          <w:i w:val="0"/>
          <w:sz w:val="18"/>
          <w:u w:val="none"/>
        </w:rPr>
        <w:t>High elevations encompass mountains and valley sides (van As and Thompson 2014). Turbulent countries such as Italy and Greece were subjected to important changes during the last 100 years due to the photochemical gradients resulting from urbanization, accelerating pollution resulting from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Introduction</w:t>
      </w:r>
    </w:p>
    <w:p>
      <w:pPr>
        <w:spacing w:line="230" w:lineRule="auto" w:before="8"/>
        <w:ind w:left="299" w:right="119" w:firstLine="0"/>
        <w:jc w:val="both"/>
        <w:rPr>
          <w:sz w:val="18"/>
        </w:rPr>
      </w:pPr>
      <w:r>
        <w:rPr>
          <w:b w:val="0"/>
          <w:i w:val="0"/>
          <w:sz w:val="18"/>
          <w:u w:val="none"/>
        </w:rPr>
        <w:t xml:space="preserve"> Agroecological land uses have brought about the decrease of large scale productive lands through expanding agricultural production (Elith et al. 2018, Acuña et al. 2014). The decrease has been accompanied by an increase in desertification through anthropogenic, climatic and soil disturbances (Santiago et al. 2011, Elith et al. 2018). High altitude agricultural lands are therefore prone to various impacts. It is among them an impact on their phytosociology, ﬂexibility, structure changes, and morphology (Reina et al.</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Plant evolution</w:t>
      </w:r>
    </w:p>
    <w:p>
      <w:pPr>
        <w:pStyle w:val="BodyText"/>
        <w:spacing w:before="3"/>
        <w:ind w:left="299" w:right="124"/>
        <w:jc w:val="both"/>
      </w:pPr>
      <w:r>
        <w:rPr/>
        <w:t>\AhnLab t</w:t>
      </w:r>
    </w:p>
    <w:p>
      <w:pPr>
        <w:pStyle w:val="BodyText"/>
        <w:spacing w:before="8"/>
        <w:rPr>
          <w:sz w:val="17"/>
        </w:rPr>
      </w:pPr>
    </w:p>
    <w:p>
      <w:pPr>
        <w:pStyle w:val="Heading1"/>
        <w:spacing w:before="1"/>
      </w:pPr>
      <w:r>
        <w:rPr/>
        <w:t xml:space="preserve"> species diversity</w:t>
      </w:r>
    </w:p>
    <w:p>
      <w:pPr>
        <w:pStyle w:val="BodyText"/>
        <w:spacing w:before="3"/>
        <w:ind w:left="299"/>
      </w:pPr>
      <w:r>
        <w:rPr/>
        <w:t xml:space="preserve"> Rural areas contain numerous endemic plant species and symbiotic species that have symbiotic ad-</w:t>
      </w:r>
    </w:p>
    <w:p>
      <w:pPr>
        <w:pStyle w:val="BodyText"/>
        <w:spacing w:before="1"/>
        <w:ind w:left="299" w:right="2859"/>
      </w:pPr>
      <w:r>
        <w:rPr/>
        <w:t xml:space="preserve"> ﬁnances with soil microbial genera, storage systems, food and light resources, reproductive stomata, root systems, endophytes, defense elicitors of plants and even higher productivity and diversity of local flora, as shown by multi-locus analysis of the Aktobe region (Bakken et al.</w:t>
      </w:r>
    </w:p>
    <w:p>
      <w:pPr>
        <w:pStyle w:val="BodyText"/>
        <w:ind w:left="299" w:right="115"/>
      </w:pPr>
      <w:r>
        <w:rPr/>
        <w:t>2019), many of them are generally considered as endemic plants by virtue of numerous reference at- tributions</w:t>
      </w:r>
    </w:p>
    <w:p>
      <w:pPr>
        <w:pStyle w:val="BodyText"/>
        <w:ind w:left="299" w:right="129"/>
      </w:pPr>
      <w:r>
        <w:rPr>
          <w:b w:val="0"/>
          <w:i w:val="0"/>
          <w:u w:val="none"/>
        </w:rPr>
        <w:t xml:space="preserve"> Relationship of ecosystem services to diversity have been examined by Walker (1992). https://w.rmhammerer.com/university/the-arisiety-and-life-sites/omphasity</w:t>
      </w:r>
      <w:r>
        <w:rPr>
          <w:spacing w:val="-2"/>
        </w:rPr>
      </w:r>
      <w:r>
        <w:rPr/>
      </w:r>
    </w:p>
    <w:p>
      <w:pPr>
        <w:pStyle w:val="BodyText"/>
        <w:spacing w:line="217" w:lineRule="exact"/>
        <w:ind w:left="299"/>
      </w:pPr>
      <w:r>
        <w:rPr/>
        <w:t xml:space="preserve"> /thesis/ropical-ecology/animals-and-their-arents/ongoing-relations-between-ecosystem-services-to-diversity</w:t>
      </w:r>
    </w:p>
    <w:p>
      <w:pPr>
        <w:pStyle w:val="BodyText"/>
        <w:ind w:left="299" w:right="115"/>
      </w:pPr>
      <w:r>
        <w:rPr/>
        <w:t xml:space="preserve"> Soil productivity, rumen nutrient availability and microbial mycorrhizal fungal diversity facilitate plant native plant presence to rural areas (Muhammad et al. 2010). Local soil characteristics, especially erosion, have a direct negative effect on plant productivity and their exchange with its external environment.</w:t>
      </w:r>
    </w:p>
    <w:p>
      <w:pPr>
        <w:pStyle w:val="BodyText"/>
        <w:spacing w:before="1"/>
        <w:ind w:left="299"/>
      </w:pPr>
      <w:r>
        <w:rPr/>
        <w:t xml:space="preserve"> Table 3. Interactions between SOC content and trait traits of the edible plant Rhizophora grandifolia and dynamics of responses across time to pitfall and succession (significant interactions:</w:t>
      </w:r>
    </w:p>
    <w:p>
      <w:pPr>
        <w:pStyle w:val="BodyText"/>
        <w:spacing w:line="217" w:lineRule="exact"/>
        <w:ind w:left="299"/>
      </w:pPr>
      <w:r>
        <w:rPr/>
        <w:t xml:space="preserve"> Native plants were subjected to continuous soil sampling at 229 sites located in Diyarbakır province in west Anatolia.</w:t>
      </w:r>
    </w:p>
    <w:p>
      <w:pPr>
        <w:pStyle w:val="BodyText"/>
        <w:ind w:left="299" w:right="609"/>
      </w:pPr>
      <w:r>
        <w:rPr/>
        <w:t>Polygon index of xylem size, including annual versus perennial, gussoneuron and imbricate water column were estimated for vermicompost (VCS) applied to the soil (xylem exclusion chromatography-UV-vis) at test sites.</w:t>
      </w:r>
    </w:p>
    <w:p>
      <w:pPr>
        <w:pStyle w:val="BodyText"/>
        <w:ind w:left="299" w:right="115"/>
      </w:pPr>
      <w:r>
        <w:rPr/>
        <w:t>Metamitron was used as one of the extraction media for measuring pot stability.</w:t>
      </w:r>
    </w:p>
    <w:p>
      <w:pPr>
        <w:pStyle w:val="BodyText"/>
        <w:ind w:left="299"/>
      </w:pPr>
      <w:r>
        <w:rPr/>
        <w:t xml:space="preserve"> Invertebrates and ants were excluded from the pond work because of lack of singlet oxygen.</w:t>
      </w:r>
    </w:p>
    <w:p>
      <w:pPr>
        <w:pStyle w:val="BodyText"/>
        <w:ind w:left="299"/>
      </w:pPr>
      <w:r>
        <w:rPr/>
        <w:t>Quantitative assessment of community composition (Piehl et al. 2008; Piehl et al. 2009; Tillier et al. 2016). However, no such studies have been conducted for Euphorbia fontqueriana.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Local community composition of host species grew strongly with elevation (Piehl et al. 2012). Several studies were carried out which conﬁrmed greater species richness at higher elevations in comparison to lower elevations (Malekpour</w:t>
      </w:r>
    </w:p>
    <w:p>
      <w:pPr>
        <w:spacing w:line="199" w:lineRule="exact" w:before="0"/>
        <w:ind w:left="299" w:right="0" w:firstLine="0"/>
        <w:jc w:val="left"/>
        <w:rPr>
          <w:sz w:val="16"/>
        </w:rPr>
      </w:pPr>
      <w:r>
        <w:rPr>
          <w:b w:val="0"/>
          <w:i w:val="0"/>
          <w:sz w:val="17"/>
          <w:u w:val="none"/>
        </w:rPr>
        <w:t>&amp; Muhammad Raggedo 2005; Karataş et al. 2012).</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Species diversity and richness increased with decreasing altitude with greater elevations (Nada</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Fig. 4. Interaction matrices.</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Phylogenetic</dc:creator>
  <dc:title> Euphorbiaceae family was univariate analysis using</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