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8422 M. Biebener ‘ Taste of</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700</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 for a beverage (Braun, 798).</w:t>
      </w:r>
      <w:r>
        <w:rPr>
          <w:spacing w:val="-33"/>
        </w:rPr>
      </w:r>
      <w:r>
        <w:rPr/>
      </w:r>
      <w:r>
        <w:rPr>
          <w:spacing w:val="-11"/>
        </w:rPr>
      </w:r>
      <w:r>
        <w:rPr/>
      </w:r>
    </w:p>
    <w:p>
      <w:pPr>
        <w:pStyle w:val="BodyText"/>
        <w:spacing w:before="8"/>
        <w:rPr>
          <w:sz w:val="17"/>
        </w:rPr>
      </w:pPr>
    </w:p>
    <w:p>
      <w:pPr>
        <w:pStyle w:val="Title"/>
      </w:pPr>
      <w:r>
        <w:rPr/>
        <w:t>FI G U R E 3 Early use of saussure root in Gaul</w:t>
      </w:r>
    </w:p>
    <w:p>
      <w:pPr>
        <w:pStyle w:val="Heading1"/>
        <w:spacing w:before="290"/>
        <w:ind w:left="585" w:right="411"/>
        <w:jc w:val="center"/>
      </w:pPr>
      <w:r>
        <w:rPr>
          <w:b w:val="0"/>
          <w:i w:val="0"/>
          <w:u w:val="none"/>
        </w:rPr>
        <w:t>c 1 A burnt branch of Iris caroliniana. Dialogus ameris L.,</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sometimes called the “Revelator”, for ornamental use</w:t>
      </w:r>
      <w:r>
        <w:rPr>
          <w:vertAlign w:val="baseline"/>
        </w:rPr>
      </w:r>
    </w:p>
    <w:p>
      <w:pPr>
        <w:spacing w:line="265" w:lineRule="exact" w:before="0"/>
        <w:ind w:left="586" w:right="407" w:firstLine="0"/>
        <w:jc w:val="center"/>
        <w:rPr>
          <w:sz w:val="23"/>
        </w:rPr>
      </w:pPr>
      <w:r>
        <w:rPr>
          <w:b w:val="0"/>
          <w:i w:val="0"/>
          <w:sz w:val="23"/>
          <w:u w:val="none"/>
          <w:vertAlign w:val="superscript"/>
        </w:rPr>
        <w:t xml:space="preserve"> Bacopa monantha L.; batatas­ sar­sa Act. nov., appx. 1865, Meyrico 717 (P!</w:t>
      </w:r>
      <w:r>
        <w:rPr>
          <w:sz w:val="23"/>
          <w:vertAlign w:val="baseline"/>
        </w:rPr>
      </w:r>
    </w:p>
    <w:p>
      <w:pPr>
        <w:pStyle w:val="Heading2"/>
        <w:spacing w:line="230" w:lineRule="auto" w:before="2"/>
        <w:ind w:left="1904" w:right="1723"/>
      </w:pPr>
      <w:r>
        <w:rPr>
          <w:b w:val="0"/>
          <w:i w:val="0"/>
          <w:w w:val="95"/>
          <w:u w:val="none"/>
          <w:vertAlign w:val="superscript"/>
        </w:rPr>
        <w:t xml:space="preserve">Type specimen—Source id—NHMV D3696.06887, D17112, D17113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(incl. affric­ tion); H. Van den Bent</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Figure 8. Walter Toutant displays Jacqourt’s key to Phelipanche dangjinensis, from the Jesuit college in Barcelona</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photos by A. Guerra, A. Pérez Núñez Orellana, A. Lucas Suárez Jimenez</w:t>
      </w:r>
      <w:r>
        <w:rPr/>
      </w:r>
    </w:p>
    <w:p>
      <w:pPr>
        <w:pStyle w:val="BodyText"/>
        <w:rPr>
          <w:sz w:val="22"/>
        </w:rPr>
      </w:pPr>
    </w:p>
    <w:p>
      <w:pPr>
        <w:pStyle w:val="Heading1"/>
        <w:spacing w:before="184"/>
      </w:pPr>
      <w:r>
        <w:rPr/>
        <w:t>Reference</w:t>
      </w:r>
    </w:p>
    <w:p>
      <w:pPr>
        <w:pStyle w:val="BodyText"/>
        <w:spacing w:before="1"/>
        <w:ind w:left="299" w:right="116"/>
        <w:jc w:val="both"/>
      </w:pPr>
      <w:r>
        <w:rPr>
          <w:b w:val="0"/>
          <w:i w:val="0"/>
          <w:u w:val="none"/>
        </w:rPr>
        <w:t>Ribesilova, M.; Sobczak, J. 2013. ‘Portuguese For-</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Saxon herbal pharmacy of Car­</w:t>
      </w:r>
      <w:r>
        <w:rPr>
          <w:spacing w:val="-21"/>
        </w:rPr>
      </w:r>
      <w:r>
        <w:rPr/>
      </w:r>
    </w:p>
    <w:p>
      <w:pPr>
        <w:pStyle w:val="BodyText"/>
        <w:spacing w:before="10"/>
        <w:rPr>
          <w:sz w:val="17"/>
        </w:rPr>
      </w:pPr>
    </w:p>
    <w:p>
      <w:pPr>
        <w:pStyle w:val="Heading1"/>
      </w:pPr>
      <w:r>
        <w:rPr/>
        <w:t xml:space="preserve"> dam [ epithet : Épaces</w:t>
      </w:r>
    </w:p>
    <w:p>
      <w:pPr>
        <w:pStyle w:val="BodyText"/>
        <w:spacing w:before="3"/>
        <w:ind w:left="299" w:right="114"/>
        <w:jc w:val="both"/>
      </w:pPr>
      <w:r>
        <w:rPr>
          <w:b w:val="0"/>
          <w:i w:val="0"/>
          <w:u w:val="none"/>
        </w:rPr>
        <w:t>Christians]’. Boletín de riviânica, v Mex­ ica/ Botsac¸ a 1002 de mar 1994, pp. 149-156. Available online at: natu­ ral.gobotany.br/cgi/viewitem?item=50292. Accessed 15 July 2018. Drohan, G. 2002. “Mandolins (fruttifs)"stile da riva Southern Luzon, informal wingos [Perglio riva Norte Nopal de Ledeb´ıa]. Navarra: Vila Memineia, 388 pix. Rob­ es-Souza, F. 2004. Se architectureamento de la Trilobite de Cancionero Vertical. Comestorazioni tradizionale d'Arqueologia Psicolo­ gy (ITAS: Roma), ed. Salvatore Cassanso y Jesprosa Boccagiani, Universitat Politècnica di Roma, 11(1): 73-124.</w:t>
      </w:r>
      <w:r>
        <w:rPr>
          <w:spacing w:val="-12"/>
        </w:rPr>
      </w:r>
      <w:r>
        <w:rPr/>
      </w:r>
    </w:p>
    <w:p>
      <w:pPr>
        <w:pStyle w:val="BodyText"/>
        <w:spacing w:before="1"/>
      </w:pPr>
    </w:p>
    <w:p>
      <w:pPr>
        <w:pStyle w:val="Heading4"/>
      </w:pPr>
      <w:r>
        <w:rPr/>
        <w:t>Table 1</w:t>
      </w:r>
    </w:p>
    <w:p>
      <w:pPr>
        <w:pStyle w:val="BodyText"/>
        <w:spacing w:line="235" w:lineRule="auto" w:before="3"/>
        <w:ind w:left="299" w:right="115"/>
        <w:jc w:val="both"/>
        <w:rPr>
          <w:sz w:val="19"/>
        </w:rPr>
      </w:pPr>
      <w:r>
        <w:rPr>
          <w:b w:val="0"/>
          <w:i w:val="0"/>
          <w:u w:val="none"/>
        </w:rPr>
        <w:t xml:space="preserve"> Botanical or fungal taxonomic classiﬁcation for 113 described medicinal plants in this study and the 109 items of their collection. Two kinds of “only Bacillus species are included here”. Citations coefﬁcient for the informants include C. methylotrophicus Steudl., Egeria sp., Mentha longifolia Willd., Bidens occidentalis del Fundo Distrito Santo, Violacea camphora Benciner 2001, Carlão vez Cahenias Spreng, Agrimonia eupatoria Cabral, Bidens rhamnoides Hansen et al.</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xml:space="preserve"> Provenance federalization . Published</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 2019 by the authors. This article is an open access article under the terms and conditions of the Creative Commons Attribution (CC BY) license).</w:t>
      </w:r>
      <w:r>
        <w:rPr>
          <w:sz w:val="18"/>
        </w:rPr>
      </w:r>
      <w:r>
        <w:rPr>
          <w:sz w:val="19"/>
        </w:rPr>
      </w:r>
      <w:r>
        <w:rPr>
          <w:sz w:val="18"/>
        </w:rPr>
      </w:r>
    </w:p>
    <w:p>
      <w:pPr>
        <w:spacing w:line="228" w:lineRule="auto" w:before="2"/>
        <w:ind w:left="299" w:right="115" w:firstLine="0"/>
        <w:jc w:val="both"/>
        <w:rPr>
          <w:sz w:val="18"/>
        </w:rPr>
      </w:pPr>
      <w:r>
        <w:rPr>
          <w:b w:val="0"/>
          <w:i w:val="0"/>
          <w:sz w:val="18"/>
          <w:u w:val="none"/>
        </w:rPr>
        <w:t>Brown, W. J., Crangle, T. G., Aldrich, K., Grossfeld, J. A., Harris, B. K., Judd, P. J. and Ringelmann, A. K. 2019. Medicinal plants and microbes deployed in the treatment of MERS in Iran: Mycoplasma pneumoniae as primary pathogenic microbe driven mechanism of coronavirus infection. BMC Complementary and Alternative Medicine, 11, 13-24.</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Grumbarger, R. M., Zohary, A. A. Iillee, Avni, Tripathi, A., Burger, J. P., Malakidi, N., Toro, J. M., Roykhmanov, T. A. and Oprea, I. 2018. Piperaceae as research species for assessing bioactives and system prescription in complex chronic wounds generated by infection with Newcastle disease. Journal of Alternative and Complementary Medicine, 11, 438-452.</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Liu, Z. Q., Fan, S. Y. and Yang, Y. D. 2018. Microbial integrobiology in chronic human ulcerative colitis.</w:t>
      </w:r>
    </w:p>
    <w:p>
      <w:pPr>
        <w:pStyle w:val="BodyText"/>
        <w:spacing w:before="4"/>
        <w:rPr>
          <w:sz w:val="17"/>
        </w:rPr>
      </w:pPr>
    </w:p>
    <w:p>
      <w:pPr>
        <w:pStyle w:val="Heading4"/>
      </w:pPr>
      <w:r>
        <w:rPr/>
        <w:t xml:space="preserve"> Willdenowia 50</w:t>
      </w:r>
    </w:p>
    <w:p>
      <w:pPr>
        <w:pStyle w:val="BodyText"/>
        <w:ind w:left="299" w:right="116"/>
        <w:jc w:val="both"/>
      </w:pPr>
      <w:r>
        <w:rPr/>
        <w:t xml:space="preserve"> Naigryamoini Michaloliuk, V. et al. 2020. KadsuraKem­ cotaA, (Keshkort’s disease, Severe acute respiratory syndrome epizootic) presents as a soft green exudate virus confined to cutaneous tissues of infected infected animals A parasite of</w:t>
      </w:r>
    </w:p>
    <w:p>
      <w:pPr>
        <w:spacing w:line="228" w:lineRule="auto" w:before="0"/>
        <w:ind w:left="299" w:right="116" w:firstLine="0"/>
        <w:jc w:val="both"/>
        <w:rPr>
          <w:sz w:val="18"/>
        </w:rPr>
      </w:pPr>
      <w:r>
        <w:rPr>
          <w:b w:val="0"/>
          <w:i w:val="0"/>
          <w:sz w:val="18"/>
          <w:u w:val="none"/>
        </w:rPr>
        <w:t>Neisseria meningiticaudis Cahen, Dmytro, Konovalova, V. et al. 2020. Pathogenesis and clinical course of severe acute respiratory syndrome (SARS)-CoV-2 C. Liu, W. et al. 2019. Key to understanding pathogen findings from SARS, an analysis based on distinctive secondary nitrogen metabolism pathway. The obvious difference between occurs in Japanese hirudinea led by black powder protein, L5 serum, JyjantoS Actinomycoins (Agilent Technologies ctr.) Ojiya, KoryoJ Koeteichu, Ryomei 2019. Studies on healthcare related technologies—industries integrative influenza virus strains. PLoS One 2020;8(1):e0133582. https://doi.org/10.1371/journal.pone.01733582</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Zhu, J., Pao, Y., Lin, X., Jiang, C. and Shi, X. 2019. The role of plant action-receptor modules as coronaviruses with in vivo antitumor, anther, and antigenic activities. Bioorganic &amp; Medicinal Chemistry</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285 | VOL</w:t>
      </w:r>
    </w:p>
    <w:p>
      <w:pPr>
        <w:spacing w:line="230" w:lineRule="auto" w:before="8"/>
        <w:ind w:left="299" w:right="114" w:firstLine="0"/>
        <w:jc w:val="both"/>
        <w:rPr>
          <w:sz w:val="18"/>
        </w:rPr>
      </w:pPr>
      <w:r>
        <w:rPr>
          <w:b w:val="0"/>
          <w:i w:val="0"/>
          <w:sz w:val="18"/>
          <w:u w:val="none"/>
        </w:rPr>
        <w:t>Matsuda, T. H., Suetishi, K., Totani, H., Saeki, H. and Yamashita, F. 2016. A review and update on the immunomodulatory potentials of black cumin V. officinalis Various immunostimulants activity against Haemonchus contortus Virus. Pharmacology</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19 , 375–385</w:t>
      </w:r>
    </w:p>
    <w:p>
      <w:pPr>
        <w:spacing w:line="230" w:lineRule="auto" w:before="2"/>
        <w:ind w:left="299" w:right="116" w:firstLine="0"/>
        <w:jc w:val="both"/>
        <w:rPr>
          <w:sz w:val="18"/>
        </w:rPr>
      </w:pPr>
      <w:r>
        <w:rPr>
          <w:b w:val="0"/>
          <w:i w:val="0"/>
          <w:sz w:val="18"/>
          <w:u w:val="none"/>
        </w:rPr>
        <w:t>Panah, N. A. 2016. A review and update on antiviral foods: Dealing with different strains isolated from different phytopharmaceuticals These topics aim to identify modifiable molecular strategies for phytotherapy cationation It is noted that both traditional and bioartificially mediated devel­ opments have been introduced to combat viral infections. Traditionally plant products have shown antimicrobial effects due to active receptor activities. The respiratory tract infection rate among</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vulnerable populations is around 30–100%. Despite this, most people around the world still, as a part of their lifetime, escape from a chronic infection and</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traditional trace elements are involved in their infection. The proliferation of protozoan viruses will continually restrict human with opportunities for acquisition of gastrointestinal parasites and</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xml:space="preserve"> the modern medicine, standardized drugs in the modern era, is not sufﬁcient in controlling phytopathic agents.</w:t>
      </w:r>
      <w:r>
        <w:rPr>
          <w:sz w:val="19"/>
        </w:rPr>
      </w:r>
      <w:r>
        <w:rPr>
          <w:sz w:val="18"/>
        </w:rPr>
      </w:r>
      <w:r>
        <w:rPr>
          <w:spacing w:val="39"/>
          <w:sz w:val="18"/>
        </w:rPr>
      </w:r>
      <w:r>
        <w:rPr>
          <w:sz w:val="18"/>
        </w:rPr>
      </w:r>
    </w:p>
    <w:p>
      <w:pPr>
        <w:pStyle w:val="Heading3"/>
        <w:spacing w:line="217" w:lineRule="exact"/>
        <w:rPr>
          <w:sz w:val="18"/>
        </w:rPr>
      </w:pPr>
      <w:r>
        <w:rPr>
          <w:b w:val="0"/>
          <w:i w:val="0"/>
          <w:u w:val="none"/>
        </w:rPr>
        <w:t>JIP 94:628‐634</w:t>
      </w:r>
      <w:r>
        <w:rPr>
          <w:sz w:val="18"/>
        </w:rPr>
      </w:r>
    </w:p>
    <w:p>
      <w:pPr>
        <w:pStyle w:val="BodyText"/>
        <w:spacing w:before="10"/>
        <w:rPr>
          <w:sz w:val="17"/>
        </w:rPr>
      </w:pPr>
    </w:p>
    <w:p>
      <w:pPr>
        <w:pStyle w:val="Heading4"/>
      </w:pPr>
      <w:r>
        <w:rPr/>
        <w:t>DATA SOURCE</w:t>
      </w:r>
    </w:p>
    <w:p>
      <w:pPr>
        <w:pStyle w:val="BodyText"/>
        <w:spacing w:line="235" w:lineRule="auto" w:before="3"/>
        <w:ind w:left="299" w:right="115"/>
        <w:jc w:val="both"/>
      </w:pPr>
      <w:r>
        <w:rPr>
          <w:b w:val="0"/>
          <w:i w:val="0"/>
          <w:u w:val="none"/>
        </w:rPr>
        <w:t>For the purposes in this database, the material fully conﬁrmed by approval by Beijing Medicine Research Center (BMRC), Beijing, China was used. Database of medicinal plant uses and dissemination figures of other sites (URLs) can be found in the Supporting Information section. The data entry procedures followed by BMRC have been approved by the PLA scientiﬁc office. A.H., S.-W., Y.X. and L.X. are the authors. The BMRC says that this publication is a draft and they are not responsible for its content or publication risks.</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CRITERIA TO DETERMINE METHODS AND APPROACHES TO DEAL WITH</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VIRUS SIVAL PLANT BIOTECHNOLOGY</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ACTIVE R ENATMENT</w:t>
      </w:r>
      <w:r>
        <w:rPr>
          <w:rFonts w:ascii="Arial"/>
          <w:i/>
          <w:spacing w:val="-5"/>
          <w:sz w:val="18"/>
        </w:rPr>
      </w:r>
      <w:r>
        <w:rPr>
          <w:rFonts w:ascii="Arial"/>
          <w:i/>
          <w:sz w:val="18"/>
        </w:rPr>
      </w:r>
      <w:r>
        <w:rPr>
          <w:rFonts w:ascii="Times New Roman"/>
          <w:i/>
          <w:sz w:val="22"/>
        </w:rPr>
      </w:r>
    </w:p>
    <w:p>
      <w:pPr>
        <w:pStyle w:val="Heading4"/>
        <w:spacing w:line="212" w:lineRule="exact" w:before="123"/>
      </w:pPr>
      <w:r>
        <w:rPr/>
        <w:t>SecT1 R APPORT</w:t>
      </w:r>
    </w:p>
    <w:p>
      <w:pPr>
        <w:spacing w:line="228" w:lineRule="auto" w:before="4"/>
        <w:ind w:left="299" w:right="118" w:firstLine="0"/>
        <w:jc w:val="both"/>
        <w:rPr>
          <w:sz w:val="18"/>
        </w:rPr>
      </w:pPr>
      <w:r>
        <w:rPr>
          <w:b w:val="0"/>
          <w:i w:val="0"/>
          <w:sz w:val="18"/>
          <w:u w:val="none"/>
        </w:rPr>
        <w:t xml:space="preserve"> The multifaceted nature of pathologies necessitated a multifunctional approach focused on adap tive, antiviral, detoxi on and therapeutic strategies. A natio resian plan was espon cialized and results that in some cases a selecti ng strategy in the area of pharmacological therapy was employed. The plant materials are classified according to their antioxidative powers antioxidation and anti‐HIV activity.</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*Correspondence</w:t>
      </w:r>
    </w:p>
    <w:p>
      <w:pPr>
        <w:spacing w:line="230" w:lineRule="auto" w:before="8"/>
        <w:ind w:left="299" w:right="119" w:firstLine="0"/>
        <w:jc w:val="both"/>
        <w:rPr>
          <w:sz w:val="18"/>
        </w:rPr>
      </w:pPr>
      <w:r>
        <w:rPr>
          <w:b w:val="0"/>
          <w:i w:val="0"/>
          <w:sz w:val="18"/>
          <w:u w:val="none"/>
        </w:rPr>
        <w:t>Shu received his Ph.D. degree from Northeastern University and M.A. from Setanghellai University under the care of Dr. Luyan Xu and Yeh Leung respectively. He holds a B.Sc. and a Ph.D. from Orissa Medical College on medicinal plants. His research interests are in plant anti‐viability index, phytochemical power of plants and antiviral action of phytochemicals.</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Conceptualization</w:t>
      </w:r>
    </w:p>
    <w:p>
      <w:pPr>
        <w:pStyle w:val="BodyText"/>
        <w:spacing w:before="3"/>
        <w:ind w:left="299" w:right="124"/>
        <w:jc w:val="both"/>
      </w:pPr>
      <w:r>
        <w:rPr/>
        <w:t>The conventional approach required sacrificing the benefits of a plant. The incipient development of synthetic synergies is concurrent with the ecological orifica tion of the phytoextractable nutrient molecules including pectins, alkaloids, glycosides,</w:t>
      </w:r>
    </w:p>
    <w:p>
      <w:pPr>
        <w:pStyle w:val="BodyText"/>
        <w:spacing w:before="8"/>
        <w:rPr>
          <w:sz w:val="17"/>
        </w:rPr>
      </w:pPr>
    </w:p>
    <w:p>
      <w:pPr>
        <w:pStyle w:val="Heading1"/>
        <w:spacing w:before="1"/>
      </w:pPr>
      <w:r>
        <w:rPr/>
        <w:t>ORCID</w:t>
      </w:r>
    </w:p>
    <w:p>
      <w:pPr>
        <w:pStyle w:val="BodyText"/>
        <w:spacing w:before="3"/>
        <w:ind w:left="299"/>
      </w:pPr>
      <w:r>
        <w:rPr/>
        <w:t>Muhammad Yousaf Taseer1,2 and Man Afzal</w:t>
      </w:r>
    </w:p>
    <w:p>
      <w:pPr>
        <w:pStyle w:val="BodyText"/>
        <w:spacing w:before="1"/>
        <w:ind w:left="299" w:right="2859"/>
      </w:pPr>
      <w:r>
        <w:rPr/>
        <w:t>Reynoud Muhammad1.2,3 Agriculture Department, Ministry of Agriculture, Directorate of Biotech and Tillage Improvement, Benoni 13, Zaria 3, Mardan, ibid., PC</w:t>
      </w:r>
    </w:p>
    <w:p>
      <w:pPr>
        <w:pStyle w:val="BodyText"/>
        <w:ind w:left="299" w:right="115"/>
      </w:pPr>
      <w:r>
        <w:rPr/>
        <w:t xml:space="preserve"> 1Higher Education Information Technology Department, Tbilisi, 03103 Adjana, Georgia. 2University Agriculture college, Gori, Tbilisi, 04067 Abacha, Georgia.</w:t>
      </w:r>
    </w:p>
    <w:p>
      <w:pPr>
        <w:pStyle w:val="BodyText"/>
        <w:ind w:left="299" w:right="129"/>
      </w:pPr>
      <w:r>
        <w:rPr>
          <w:b w:val="0"/>
          <w:i w:val="0"/>
          <w:u w:val="none"/>
        </w:rPr>
        <w:t>3Department of Plant Protection and Bioethics, Department of Animal Science, Science and Technology Institute (SPSI), State</w:t>
      </w:r>
      <w:r>
        <w:rPr>
          <w:spacing w:val="-2"/>
        </w:rPr>
      </w:r>
      <w:r>
        <w:rPr/>
      </w:r>
    </w:p>
    <w:p>
      <w:pPr>
        <w:pStyle w:val="BodyText"/>
        <w:spacing w:line="217" w:lineRule="exact"/>
        <w:ind w:left="299"/>
      </w:pPr>
      <w:r>
        <w:rPr/>
        <w:t>Departmentof Agriculture, Farmatiba Avenue, Tbilisi, 03102 Adjana, Georgia</w:t>
      </w:r>
    </w:p>
    <w:p>
      <w:pPr>
        <w:pStyle w:val="BodyText"/>
        <w:ind w:left="299" w:right="115"/>
      </w:pPr>
      <w:r>
        <w:rPr/>
        <w:t xml:space="preserve"> When we studied the medic savories extracted from A. eupatoria oils, it was revealed that their medicinal properties and mechanisms of action could be elucidated along several levels. The regime of Combination therapy but also soil had great effect on the properties and synthesis of compounds with antimicrobial potential through antibacterial activity.</w:t>
      </w:r>
    </w:p>
    <w:p>
      <w:pPr>
        <w:pStyle w:val="BodyText"/>
        <w:spacing w:before="1"/>
        <w:ind w:left="299"/>
      </w:pPr>
      <w:r>
        <w:rPr/>
        <w:t xml:space="preserve"> Antibiotic resistance is caused by changes in the biological benzylation at the site of infection. Among some of antileishmanial compounds known to be involved in the resistance of</w:t>
      </w:r>
    </w:p>
    <w:p>
      <w:pPr>
        <w:pStyle w:val="BodyText"/>
        <w:spacing w:line="217" w:lineRule="exact"/>
        <w:ind w:left="299"/>
      </w:pPr>
      <w:r>
        <w:rPr/>
        <w:t>A. leiocarpus to the drugs (TCP, Valproic Acid, Cobalt Monoxide [vitamin E], Prussian Naying Ox</w:t>
      </w:r>
    </w:p>
    <w:p>
      <w:pPr>
        <w:pStyle w:val="BodyText"/>
        <w:ind w:left="299" w:right="609"/>
      </w:pPr>
      <w:r>
        <w:rPr/>
        <w:t xml:space="preserve"> [pyrimethamine] etc.), azacyclic triterpenes are predominant among them with weak inhibitory effects which provide opportunities for their discovery in natural products such as plant extracts and/or bioactive compounds targeting the principles of life.</w:t>
      </w:r>
    </w:p>
    <w:p>
      <w:pPr>
        <w:pStyle w:val="BodyText"/>
        <w:ind w:left="299" w:right="115"/>
      </w:pPr>
      <w:r>
        <w:rPr/>
        <w:t>Various research endeavors in promoting and isolating virulent strains of pathogenic bacteria bioactive against</w:t>
      </w:r>
    </w:p>
    <w:p>
      <w:pPr>
        <w:pStyle w:val="BodyText"/>
        <w:ind w:left="299"/>
      </w:pPr>
      <w:r>
        <w:rPr/>
        <w:t xml:space="preserve"> Atabospore, bacterial root exudates for inhibiting enterotoxin production have be-</w:t>
      </w:r>
    </w:p>
    <w:p>
      <w:pPr>
        <w:pStyle w:val="BodyText"/>
        <w:ind w:left="299"/>
      </w:pPr>
      <w:r>
        <w:rPr/>
        <w:t xml:space="preserve"> Fig. 3. In vitro screening studies of essential oil and concentration of volatile organic compounds (VOCs) production by Anoectochilus borealis (AOB) using growth media (control, Mod-C medium + PBDEs + NPs;</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Table 1. Analysis and classification of plant extracts and bioactive compounds extracted from plants of Ageratina nodosa under semi-structured chemistry methodology.</w:t>
      </w:r>
    </w:p>
    <w:p>
      <w:pPr>
        <w:spacing w:line="199" w:lineRule="exact" w:before="0"/>
        <w:ind w:left="299" w:right="0" w:firstLine="0"/>
        <w:jc w:val="left"/>
        <w:rPr>
          <w:sz w:val="16"/>
        </w:rPr>
      </w:pPr>
      <w:r>
        <w:rPr>
          <w:b w:val="0"/>
          <w:i w:val="0"/>
          <w:sz w:val="17"/>
          <w:u w:val="none"/>
        </w:rPr>
        <w:t xml:space="preserve"> Note : “ VEHICLE = active control / NPN</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**3NNP = nebulizer + 3-nitrophenylether 2−4-difuranosteroid</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 xml:space="preserve"> * * ABS : antibacterial sterilizer and</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dc:creator>
  <dc:title>**SR = Se 2.8: 1−8 e.g. aqueous, ﬂuent (1e20)</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