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sials plus sulfate (A, C).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(11, 12)./;</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invasive, herbivore-impeding and predators.</w:t>
      </w:r>
      <w:r>
        <w:rPr>
          <w:spacing w:val="-33"/>
        </w:rPr>
      </w:r>
      <w:r>
        <w:rPr/>
      </w:r>
      <w:r>
        <w:rPr>
          <w:spacing w:val="-11"/>
        </w:rPr>
      </w:r>
      <w:r>
        <w:rPr/>
      </w:r>
    </w:p>
    <w:p>
      <w:pPr>
        <w:pStyle w:val="BodyText"/>
        <w:spacing w:before="8"/>
        <w:rPr>
          <w:sz w:val="17"/>
        </w:rPr>
      </w:pPr>
    </w:p>
    <w:p>
      <w:pPr>
        <w:pStyle w:val="Title"/>
      </w:pPr>
      <w:r>
        <w:rPr/>
        <w:t>| TETRICAL FUNCTION ON AMBULANCE</w:t>
      </w:r>
    </w:p>
    <w:p>
      <w:pPr>
        <w:pStyle w:val="Heading1"/>
        <w:spacing w:before="290"/>
        <w:ind w:left="585" w:right="411"/>
        <w:jc w:val="center"/>
      </w:pPr>
      <w:r>
        <w:rPr>
          <w:b w:val="0"/>
          <w:i w:val="0"/>
          <w:u w:val="none"/>
        </w:rPr>
        <w:t xml:space="preserve"> Amactrazin, a sulfate donor, accelerates detoxification of oxidative burden.</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https://doi.org/10.1016/j.ncbi.2018.01.025</w:t>
      </w:r>
      <w:r>
        <w:rPr>
          <w:vertAlign w:val="baseline"/>
        </w:rPr>
      </w:r>
    </w:p>
    <w:p>
      <w:pPr>
        <w:spacing w:line="265" w:lineRule="exact" w:before="0"/>
        <w:ind w:left="586" w:right="407" w:firstLine="0"/>
        <w:jc w:val="center"/>
        <w:rPr>
          <w:sz w:val="23"/>
        </w:rPr>
      </w:pPr>
      <w:r>
        <w:rPr>
          <w:b w:val="0"/>
          <w:i w:val="0"/>
          <w:sz w:val="23"/>
          <w:u w:val="none"/>
          <w:vertAlign w:val="superscript"/>
        </w:rPr>
        <w:t>D­plants · Endophytes · Exotic Plants · Metabolites</w:t>
      </w:r>
      <w:r>
        <w:rPr>
          <w:sz w:val="23"/>
          <w:vertAlign w:val="baseline"/>
        </w:rPr>
      </w:r>
    </w:p>
    <w:p>
      <w:pPr>
        <w:pStyle w:val="Heading2"/>
        <w:spacing w:line="230" w:lineRule="auto" w:before="2"/>
        <w:ind w:left="1904" w:right="1723"/>
      </w:pPr>
      <w:r>
        <w:rPr>
          <w:b w:val="0"/>
          <w:i w:val="0"/>
          <w:w w:val="95"/>
          <w:u w:val="none"/>
          <w:vertAlign w:val="superscript"/>
        </w:rPr>
        <w:t xml:space="preserve"> Table 1. Substances Affected By Strong Botanical Influences, Especially Amactraxin C. Janssen1 Sam Gifford2 Suddhamanti Mukherjee3</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a* Corresponding author.</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bUniversity of British Columbia, Edith Cowan Research and Training Centre for Landscape Ecology, Vancouver BC, Canada V6M 7L5, USA.</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cDepartment of Chemistry, University of California, Davis, CA 95615, USA.</w:t>
      </w:r>
      <w:r>
        <w:rPr/>
      </w:r>
    </w:p>
    <w:p>
      <w:pPr>
        <w:pStyle w:val="BodyText"/>
        <w:rPr>
          <w:sz w:val="22"/>
        </w:rPr>
      </w:pPr>
    </w:p>
    <w:p>
      <w:pPr>
        <w:pStyle w:val="Heading1"/>
        <w:spacing w:before="184"/>
      </w:pPr>
      <w:r>
        <w:rPr/>
        <w:t xml:space="preserve"> d * Corresponding</w:t>
      </w:r>
    </w:p>
    <w:p>
      <w:pPr>
        <w:pStyle w:val="BodyText"/>
        <w:spacing w:before="1"/>
        <w:ind w:left="299" w:right="116"/>
        <w:jc w:val="both"/>
      </w:pPr>
      <w:r>
        <w:rPr>
          <w:b w:val="0"/>
          <w:i w:val="0"/>
          <w:u w:val="none"/>
        </w:rPr>
        <w:t>E-mail address: (M A R Y N ),</w:t>
      </w:r>
      <w:r>
        <w:rPr>
          <w:spacing w:val="-4"/>
        </w:rPr>
      </w:r>
      <w:r>
        <w:rPr/>
      </w:r>
    </w:p>
    <w:p>
      <w:pPr>
        <w:pStyle w:val="BodyText"/>
        <w:spacing w:before="10"/>
        <w:rPr>
          <w:sz w:val="17"/>
        </w:rPr>
      </w:pPr>
    </w:p>
    <w:p>
      <w:pPr>
        <w:pStyle w:val="Heading1"/>
      </w:pPr>
      <w:r>
        <w:rPr/>
        <w:t>Methods</w:t>
      </w:r>
    </w:p>
    <w:p>
      <w:pPr>
        <w:pStyle w:val="BodyText"/>
        <w:spacing w:before="3"/>
        <w:ind w:left="299" w:right="120"/>
        <w:jc w:val="both"/>
      </w:pPr>
      <w:r>
        <w:rPr>
          <w:b w:val="0"/>
          <w:i w:val="0"/>
          <w:u w:val="none"/>
        </w:rPr>
        <w:t>4J Ethnopharmacol, original publication required, DOI: 10.1186/s13989-017-00379-8</w:t>
      </w:r>
      <w:r>
        <w:rPr>
          <w:spacing w:val="-21"/>
        </w:rPr>
      </w:r>
      <w:r>
        <w:rPr/>
      </w:r>
    </w:p>
    <w:p>
      <w:pPr>
        <w:pStyle w:val="BodyText"/>
        <w:spacing w:before="10"/>
        <w:rPr>
          <w:sz w:val="17"/>
        </w:rPr>
      </w:pPr>
    </w:p>
    <w:p>
      <w:pPr>
        <w:pStyle w:val="Heading1"/>
      </w:pPr>
      <w:r>
        <w:rPr/>
        <w:t>| Amino acids</w:t>
      </w:r>
    </w:p>
    <w:p>
      <w:pPr>
        <w:pStyle w:val="BodyText"/>
        <w:spacing w:before="3"/>
        <w:ind w:left="299" w:right="114"/>
        <w:jc w:val="both"/>
      </w:pPr>
      <w:r>
        <w:rPr>
          <w:b w:val="0"/>
          <w:i w:val="0"/>
          <w:u w:val="none"/>
        </w:rPr>
        <w:t xml:space="preserve"> Forming and metabolism of some trace elements, especially S, did not change with intensities of cultivation or succession. A reduction in the public availability of naturalized S is also an explanation for the lack of aromatic plant use along urban autoradiograms. Today, S is a critical component in cereal crops such wheat, rice, soybean, alfalfa, peanuts, and alfalfa/soybeans, adding important various use-value value to agricultural crops worldwide (). Plant uptake into the vascular system in S is dependent on C-DOC and its metabolic pathway ( ). S is also used for feed, biofuel, traditional medicinal and African medicinal plants are examples ( ; ). The whole plant content of total amino acids and essential amino acid increase rapidly with elevation ( ). As for metals, frequent use of high altitude plants, which lead to a good ratio for S intake, is the main reason for their maintenance with considerable washes.</w:t>
      </w:r>
      <w:r>
        <w:rPr>
          <w:spacing w:val="-12"/>
        </w:rPr>
      </w:r>
      <w:r>
        <w:rPr/>
      </w:r>
    </w:p>
    <w:p>
      <w:pPr>
        <w:pStyle w:val="BodyText"/>
        <w:spacing w:before="1"/>
      </w:pPr>
    </w:p>
    <w:p>
      <w:pPr>
        <w:pStyle w:val="Heading4"/>
      </w:pPr>
      <w:r>
        <w:rPr/>
        <w:t>Figure 3</w:t>
      </w:r>
    </w:p>
    <w:p>
      <w:pPr>
        <w:pStyle w:val="BodyText"/>
        <w:spacing w:line="235" w:lineRule="auto" w:before="3"/>
        <w:ind w:left="299" w:right="115"/>
        <w:jc w:val="both"/>
        <w:rPr>
          <w:sz w:val="19"/>
        </w:rPr>
      </w:pPr>
      <w:r>
        <w:rPr>
          <w:b w:val="0"/>
          <w:i w:val="0"/>
          <w:u w:val="none"/>
        </w:rPr>
        <w:t>Alton et al. (), suggested that the resulting metallogenic intermediates could be useful for the transfer between the endosperm of plants (ribosomes) and the liver tissues, and thus, evolutionary adaptation.</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 Metabolic pathway</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The whole body protein stores of plants are biologically exploited by low level amino acids utilization. When man has surplus resources from available sources,</w:t>
      </w:r>
      <w:r>
        <w:rPr>
          <w:sz w:val="18"/>
        </w:rPr>
      </w:r>
      <w:r>
        <w:rPr>
          <w:sz w:val="19"/>
        </w:rPr>
      </w:r>
      <w:r>
        <w:rPr>
          <w:sz w:val="18"/>
        </w:rPr>
      </w:r>
    </w:p>
    <w:p>
      <w:pPr>
        <w:spacing w:line="228" w:lineRule="auto" w:before="2"/>
        <w:ind w:left="299" w:right="115" w:firstLine="0"/>
        <w:jc w:val="both"/>
        <w:rPr>
          <w:sz w:val="18"/>
        </w:rPr>
      </w:pPr>
      <w:r>
        <w:rPr>
          <w:b w:val="0"/>
          <w:i w:val="0"/>
          <w:sz w:val="18"/>
          <w:u w:val="none"/>
        </w:rPr>
        <w:t>oﬀers a limited supply of methylamine and tyrosinase enzymes, leading to deterioration of the metabolism towards amino acid metabolism in plants. Therefore, an important module of synthesis is found in traditional application of various plants with high amino acid concentrations (; ) and these plants are still important nutrients for human health (). Akt1 phosphorylates, located in plasma membrane, is another among these precursor phosphorylates, that converts amino acids to acetytin, inorganic ester,</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eugenite, and myristicin (Tshwane et al.,, ) that provide a high dietary source of essential amino acids during the growth stage (; ); ). With advances of evolution, diﬀerent amino distribution rates are linked to glycemia (ﬂow and et al., ) reﬂecting pathogenesis. Akt3 and -like phosphodiesterases are enzymes that wasﬁltered amino acid into aldehydes via aldehyde oxidase mediated electron transport ( ) which in turn participates in complex catabolisms e.g. amino-acid metabolism via (; ). In</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 xml:space="preserve"> addition, the resulting terpenes act synergistically to improve the cellular membrane carbon pool, ofﬂow down to produce an inhibitory effect</w:t>
      </w:r>
    </w:p>
    <w:p>
      <w:pPr>
        <w:pStyle w:val="BodyText"/>
        <w:spacing w:before="4"/>
        <w:rPr>
          <w:sz w:val="17"/>
        </w:rPr>
      </w:pPr>
    </w:p>
    <w:p>
      <w:pPr>
        <w:pStyle w:val="Heading4"/>
      </w:pPr>
      <w:r>
        <w:rPr/>
        <w:t>FIG U R E</w:t>
      </w:r>
    </w:p>
    <w:p>
      <w:pPr>
        <w:pStyle w:val="BodyText"/>
        <w:ind w:left="299" w:right="116"/>
        <w:jc w:val="both"/>
      </w:pPr>
      <w:r>
        <w:rPr/>
        <w:t xml:space="preserve"> | Latex tolerance shows the evolution with phenylethylamines by Turner et al. (). ( a) Tolerance lesions in peanut embryo which decrease thermolysis to weak thermotherapeutic effect of its secondary metabolite apigenin.</w:t>
      </w:r>
    </w:p>
    <w:p>
      <w:pPr>
        <w:spacing w:line="228" w:lineRule="auto" w:before="0"/>
        <w:ind w:left="299" w:right="116" w:firstLine="0"/>
        <w:jc w:val="both"/>
        <w:rPr>
          <w:sz w:val="18"/>
        </w:rPr>
      </w:pPr>
      <w:r>
        <w:rPr>
          <w:b w:val="0"/>
          <w:i w:val="0"/>
          <w:sz w:val="18"/>
          <w:u w:val="none"/>
        </w:rPr>
        <w:t>(b) tolerance to elevate temperature stimulated macrophage infiltration following egg irradiation stress induces induction of early apoptosis and a signiﬁcant increase in stress response during extension period in rice (). Myo-inositol transthyretin adenosyltransferase and microsomal aggregate-altered expression of heat shock protein kinase in maize induces severe myopathy and eventually mutant appearance. (c) Ca2+ influx stimulated MAPK1/NF-kappaB pathway activation in wheat seedlings grown on calcareous soil.</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 xml:space="preserve"> Full features of nucleotides are color pieced lentiviral membranes and modulate the susceptibility level of plant to virus colonization. NaCl and Na + enhanced susceptibility to avian influenza (LN)), whereas synthetic nanoindophenanthrene increase viral resistance expressed in peanut (). Numerous studies showed rapid viral replication along type-2 immunity level (i.e. IFN-gamma) triggered dUTP production and stronger pathogen population changes () implied increase in virus survival rate () obtained when considering IAV strains of NK cell.</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 xml:space="preserve"> Author contributions</w:t>
      </w:r>
    </w:p>
    <w:p>
      <w:pPr>
        <w:spacing w:line="230" w:lineRule="auto" w:before="8"/>
        <w:ind w:left="299" w:right="114" w:firstLine="0"/>
        <w:jc w:val="both"/>
        <w:rPr>
          <w:sz w:val="18"/>
        </w:rPr>
      </w:pPr>
      <w:r>
        <w:rPr>
          <w:b w:val="0"/>
          <w:i w:val="0"/>
          <w:sz w:val="18"/>
          <w:u w:val="none"/>
        </w:rPr>
        <w:t>DL conceptualized research question, obtained data relevant data, designed sensitivity analysis, developed methodology, draft manuscript, and revised it critically for important intellectual content. HB conceived experimental design and conducted data analyses. HB and PM computed plant protein total amino acids, saponin content, intercellular collagens, lipid soluble metabolites, bioactive triterpene compounds, plant indole alkaloids, mineral pigments content, cytokines, BDNF, NK cell, HeLa, MCF7 cells, HIFK, chemokine signalling pathways, glutathione peroxidase, and interleukin-6 (IL-6) representing leukocytes, chemotaxis, chemotactic cell chemotaxis cascade response</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Funding</w:t>
      </w:r>
    </w:p>
    <w:p>
      <w:pPr>
        <w:spacing w:line="230" w:lineRule="auto" w:before="2"/>
        <w:ind w:left="299" w:right="116" w:firstLine="0"/>
        <w:jc w:val="both"/>
        <w:rPr>
          <w:sz w:val="18"/>
        </w:rPr>
      </w:pPr>
      <w:r>
        <w:rPr>
          <w:b w:val="0"/>
          <w:i w:val="0"/>
          <w:sz w:val="18"/>
          <w:u w:val="none"/>
        </w:rPr>
        <w:t>This work was supported by the Ministry of Education and Research (MOER), PLANTS 2018YQB620196.0.0254 from Sony America Corp., USA (), six fellowships, Grant ES2018DW204075 from Korea Interspeech Ltd., Korea, and National Allocation Bursas, USA ().</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Availability of published reports and correspondence</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 xml:space="preserve"> Available data about infection and treatment of different human immunodeficiency virus type I (HIV‐I) subtypes (IBV and current treatment) have been extracted through effective in vitro study using virus exudates. Two distinct reservoir models called Individualization and Homogeneous Loyalty Rif-Fect Model (IALR, Bohn, Peißer) were proposed by</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Vaccinium retroflexus (RB, Laufenberg, Asner, Banes, Hoffmann) Strobilanthes</w:t>
      </w:r>
      <w:r>
        <w:rPr>
          <w:sz w:val="19"/>
        </w:rPr>
      </w:r>
      <w:r>
        <w:rPr>
          <w:sz w:val="18"/>
        </w:rPr>
      </w:r>
      <w:r>
        <w:rPr>
          <w:spacing w:val="39"/>
          <w:sz w:val="18"/>
        </w:rPr>
      </w:r>
      <w:r>
        <w:rPr>
          <w:sz w:val="18"/>
        </w:rPr>
      </w:r>
    </w:p>
    <w:p>
      <w:pPr>
        <w:pStyle w:val="Heading3"/>
        <w:spacing w:line="217" w:lineRule="exact"/>
        <w:rPr>
          <w:sz w:val="18"/>
        </w:rPr>
      </w:pPr>
      <w:r>
        <w:rPr>
          <w:b w:val="0"/>
          <w:i w:val="0"/>
          <w:u w:val="none"/>
        </w:rPr>
        <w:t>Bedrocanaceae</w:t>
      </w:r>
      <w:r>
        <w:rPr>
          <w:sz w:val="18"/>
        </w:rPr>
      </w:r>
    </w:p>
    <w:p>
      <w:pPr>
        <w:pStyle w:val="BodyText"/>
        <w:spacing w:before="10"/>
        <w:rPr>
          <w:sz w:val="17"/>
        </w:rPr>
      </w:pPr>
    </w:p>
    <w:p>
      <w:pPr>
        <w:pStyle w:val="Heading4"/>
      </w:pPr>
      <w:r>
        <w:rPr/>
        <w:t>Mangifera indica</w:t>
      </w:r>
    </w:p>
    <w:p>
      <w:pPr>
        <w:pStyle w:val="BodyText"/>
        <w:spacing w:line="235" w:lineRule="auto" w:before="3"/>
        <w:ind w:left="299" w:right="115"/>
        <w:jc w:val="both"/>
      </w:pPr>
      <w:r>
        <w:rPr>
          <w:b w:val="0"/>
          <w:i w:val="0"/>
          <w:u w:val="none"/>
        </w:rPr>
        <w:t>(NOU) was identified as virus stable, contained no viral RNA, and demonstrated substantially low cytotoxicity. The genes encoding lipopolysaccharide moiety were highly conserved among isolates. It appeared that rhizosphere gene expression appears to be very highly expressed. The virus exudates were purified according to method by Incubator agarose gel flow chromatography (AGFC). Stable VC in virus‐infected plants can elution that represents a residual lipid extract of viral particles from virus‐infecting roots (). PCR analysis using primers 1088T and 1090F yielded 3.3 kb oligonucleotide with high quality (Transcriptome analysis, NCBI). The fragmentation plant RNA (SPRO) from virus‐infected root exudates was purified according to</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Tannins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Cloning and PCR analyses showed the NA inhibitory effect produced by VC. All three SPRO isolates (1) VC treated with</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 xml:space="preserve"> omnivorous plant and 2 , controls equally</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vegetative amastigote</w:t>
      </w:r>
      <w:r>
        <w:rPr>
          <w:rFonts w:ascii="Arial"/>
          <w:i/>
          <w:spacing w:val="-5"/>
          <w:sz w:val="18"/>
        </w:rPr>
      </w:r>
      <w:r>
        <w:rPr>
          <w:rFonts w:ascii="Arial"/>
          <w:i/>
          <w:sz w:val="18"/>
        </w:rPr>
      </w:r>
      <w:r>
        <w:rPr>
          <w:rFonts w:ascii="Times New Roman"/>
          <w:i/>
          <w:sz w:val="22"/>
        </w:rPr>
      </w:r>
    </w:p>
    <w:p>
      <w:pPr>
        <w:pStyle w:val="Heading4"/>
        <w:spacing w:line="212" w:lineRule="exact" w:before="123"/>
      </w:pPr>
      <w:r>
        <w:rPr/>
        <w:t>Orchards</w:t>
      </w:r>
    </w:p>
    <w:p>
      <w:pPr>
        <w:spacing w:line="228" w:lineRule="auto" w:before="4"/>
        <w:ind w:left="299" w:right="118" w:firstLine="0"/>
        <w:jc w:val="both"/>
        <w:rPr>
          <w:sz w:val="18"/>
        </w:rPr>
      </w:pPr>
      <w:r>
        <w:rPr>
          <w:b w:val="0"/>
          <w:i w:val="0"/>
          <w:sz w:val="18"/>
          <w:u w:val="none"/>
        </w:rPr>
        <w:t xml:space="preserve"> Each isolate developed adequately and was infected only by one cultivar. The cultivars Chamaecyparis siliqueum (SCR, 40 seeds/ plant; Cinsatl Khazan Herbal Herb Company), Musa elongatus (MCB, 40 seeds/ plant), Casamomis arundinacea Linn. ( CAAL, 20 seeds/ plant), Rhizophora grandiflora Linn. ( BRL, 8 seeds/plant), Yersinia amylovorum (JA, 60 seeds/plant), Pinus vegetatum (PV, 150 seeds/ plant).</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 xml:space="preserve"> + BH = Bacillus</w:t>
      </w:r>
    </w:p>
    <w:p>
      <w:pPr>
        <w:spacing w:line="230" w:lineRule="auto" w:before="8"/>
        <w:ind w:left="299" w:right="119" w:firstLine="0"/>
        <w:jc w:val="both"/>
        <w:rPr>
          <w:sz w:val="18"/>
        </w:rPr>
      </w:pPr>
      <w:r>
        <w:rPr>
          <w:b w:val="0"/>
          <w:i w:val="0"/>
          <w:sz w:val="18"/>
          <w:u w:val="none"/>
        </w:rPr>
        <w:t>(Miller, 1989) were used for laboratory experiments. Results indicated that the limited number of isolates (30) of each cultivar are suitable for isolation at the end, the having a high antiviral potential for H5N1 with 42 μg/ml method including stepwise disintegration of approximately 50 μg of the virus.</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Conclusions</w:t>
      </w:r>
    </w:p>
    <w:p>
      <w:pPr>
        <w:pStyle w:val="BodyText"/>
        <w:spacing w:before="3"/>
        <w:ind w:left="299" w:right="124"/>
        <w:jc w:val="both"/>
      </w:pPr>
      <w:r>
        <w:rPr/>
        <w:t>The results show that, the MT7 C. jejuni NCI-H460 virus vector is capable of forming, replicate and invade rice tissues and cause co‐infection at all stages. The C. jejuni ()-C. coli NSP1 skeleton was utilized for antiviral</w:t>
      </w:r>
    </w:p>
    <w:p>
      <w:pPr>
        <w:pStyle w:val="BodyText"/>
        <w:spacing w:before="8"/>
        <w:rPr>
          <w:sz w:val="17"/>
        </w:rPr>
      </w:pPr>
    </w:p>
    <w:p>
      <w:pPr>
        <w:pStyle w:val="Heading1"/>
        <w:spacing w:before="1"/>
      </w:pPr>
      <w:r>
        <w:rPr/>
        <w:t>Table 2</w:t>
      </w:r>
    </w:p>
    <w:p>
      <w:pPr>
        <w:pStyle w:val="BodyText"/>
        <w:spacing w:before="3"/>
        <w:ind w:left="299"/>
      </w:pPr>
      <w:r>
        <w:rPr/>
        <w:t>Chromatin conformation analyses of selected isolates of</w:t>
      </w:r>
    </w:p>
    <w:p>
      <w:pPr>
        <w:pStyle w:val="BodyText"/>
        <w:spacing w:before="1"/>
        <w:ind w:left="299" w:right="2859"/>
      </w:pPr>
      <w:r>
        <w:rPr/>
        <w:t xml:space="preserve"> Specimen MT7 isolates were tested for NSP1 activity on H9N2 and H5N1 with or without sulfoglycan or AgNO3 agar with respective amounts of 1% and 95% SDS-PAGE standard IQA (error bars represent the standard error;</w:t>
      </w:r>
    </w:p>
    <w:p>
      <w:pPr>
        <w:pStyle w:val="BodyText"/>
        <w:ind w:left="299" w:right="115"/>
      </w:pPr>
      <w:r>
        <w:rPr/>
        <w:t xml:space="preserve"> Study area; botanical respondents / Instituto de Ciencias Agropecuaria y Tecnológico, Universidad Aut'onoma Metropolitana – UAM), based on the appearance of visible regions on either side of the supernatant showing</w:t>
      </w:r>
    </w:p>
    <w:p>
      <w:pPr>
        <w:pStyle w:val="BodyText"/>
        <w:ind w:left="299" w:right="129"/>
      </w:pPr>
      <w:r>
        <w:rPr>
          <w:b w:val="0"/>
          <w:i w:val="0"/>
          <w:u w:val="none"/>
        </w:rPr>
        <w:t>FIGU RE 8 Structures of purified nucleic acid conjugates generated by recombination using MAFS methodology.</w:t>
      </w:r>
      <w:r>
        <w:rPr>
          <w:spacing w:val="-2"/>
        </w:rPr>
      </w:r>
      <w:r>
        <w:rPr/>
      </w:r>
    </w:p>
    <w:p>
      <w:pPr>
        <w:pStyle w:val="BodyText"/>
        <w:spacing w:line="217" w:lineRule="exact"/>
        <w:ind w:left="299"/>
      </w:pPr>
      <w:r>
        <w:rPr/>
        <w:t>SRIs were randomly generated by mixing 1 g of the total RNA with 5 μl RNase‐free water.</w:t>
      </w:r>
    </w:p>
    <w:p>
      <w:pPr>
        <w:pStyle w:val="BodyText"/>
        <w:ind w:left="299" w:right="115"/>
      </w:pPr>
      <w:r>
        <w:rPr/>
        <w:t>Spin‐closed tubes (1.4 μm diameter), were completely vortexed prior to use and a passage tube (25 μm diameter) was added as a screen within each tube containing 280 μl of DNase buffer</w:t>
      </w:r>
    </w:p>
    <w:p>
      <w:pPr>
        <w:pStyle w:val="BodyText"/>
        <w:spacing w:before="1"/>
        <w:ind w:left="299"/>
      </w:pPr>
      <w:r>
        <w:rPr/>
        <w:t xml:space="preserve"> Quantitative real time reverse transcription‐polymerase chain reaction (RT‐PCR) of the iam locus NSP1 vector (hCG‐3) has recently been demonstrated experimentally.</w:t>
      </w:r>
    </w:p>
    <w:p>
      <w:pPr>
        <w:pStyle w:val="BodyText"/>
        <w:spacing w:line="217" w:lineRule="exact"/>
        <w:ind w:left="299"/>
      </w:pPr>
      <w:r>
        <w:rPr/>
        <w:t>Results expressed as mean ± standard deviation (SD). The arrows indicate the boundaries of ellipses.</w:t>
      </w:r>
    </w:p>
    <w:p>
      <w:pPr>
        <w:pStyle w:val="BodyText"/>
        <w:ind w:left="299" w:right="609"/>
      </w:pPr>
      <w:r>
        <w:rPr/>
        <w:t>FIGU RE 9 Structures of selected isolated polysaccharides were prepared for HIV neuraminidase inhibition tests (CAT) using western blot analysis and their composition, DNA content, and</w:t>
      </w:r>
    </w:p>
    <w:p>
      <w:pPr>
        <w:pStyle w:val="BodyText"/>
        <w:ind w:left="299" w:right="115"/>
      </w:pPr>
      <w:r>
        <w:rPr/>
        <w:t>ﬂavinic acid contents were determined by RT‐PCR based on reverse transcriptase hybridization analysis.</w:t>
      </w:r>
    </w:p>
    <w:p>
      <w:pPr>
        <w:pStyle w:val="BodyText"/>
        <w:ind w:left="299"/>
      </w:pPr>
      <w:r>
        <w:rPr/>
        <w:t xml:space="preserve"> “Nickel gold” as obtained by RiboVM‐7 RT assay is an alternative assay that provides a better</w:t>
      </w:r>
    </w:p>
    <w:p>
      <w:pPr>
        <w:pStyle w:val="BodyText"/>
        <w:ind w:left="299"/>
      </w:pPr>
      <w:r>
        <w:rPr/>
        <w:t>FIGU RE 10 Illustration of purified hexokinetridin A conjugates generated by urease digestion of the purified nucleocapsid of 21Sr protein obtained from I. balfourii</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Citation:</w:t>
      </w:r>
    </w:p>
    <w:p>
      <w:pPr>
        <w:spacing w:line="187" w:lineRule="exact" w:before="0"/>
        <w:ind w:left="299" w:right="0" w:firstLine="0"/>
        <w:jc w:val="left"/>
        <w:rPr>
          <w:sz w:val="16"/>
        </w:rPr>
      </w:pPr>
      <w:r>
        <w:rPr>
          <w:sz w:val="16"/>
        </w:rPr>
        <w:t xml:space="preserve"> Fig. 3 Structure analysis of codonucleotide (GCN) profiles of genomic DNA of eight isolates of C. jejuni MT7 on anti‐HIV‐1 show the presence of three SSL polymorphisms:</w:t>
      </w:r>
    </w:p>
    <w:p>
      <w:pPr>
        <w:spacing w:line="199" w:lineRule="exact" w:before="0"/>
        <w:ind w:left="299" w:right="0" w:firstLine="0"/>
        <w:jc w:val="left"/>
        <w:rPr>
          <w:sz w:val="16"/>
        </w:rPr>
      </w:pPr>
      <w:r>
        <w:rPr>
          <w:b w:val="0"/>
          <w:i w:val="0"/>
          <w:sz w:val="17"/>
          <w:u w:val="none"/>
        </w:rPr>
        <w:t>0297‐0080, 5′TCAGTAATTGATCTTGCG‐3′</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(Genbank accession nos. TF‐517796–TF‐524903), 1298L, 213L, 265A,</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668A (Vaccinella valley, Italy) and</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771VU</dc:creator>
  <dc:title> UrauA ( virological collection , Jigakarta , Indonesia</dc:title>
  <dcterms:created xsi:type="dcterms:W3CDTF">2020-12-09T15:13:52Z</dcterms:created>
  <dcterms:modified xsi:type="dcterms:W3CDTF">2020-12-09T15:13:52Z</dcterms:modified>
  <cp:category/>
  <dc:description/>
  <cp:contentStatus/>
  <dc:identifier/>
  <cp:keywords/>
  <dc:language/>
  <cp:lastModifiedBy/>
  <dc:subject/>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