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Keywords Therapeutic Metabolites</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Anti - HIV-1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Antihemorrhagic(Regulation by antioxidant</w:t>
      </w:r>
      <w:r>
        <w:rPr>
          <w:spacing w:val="-33"/>
        </w:rPr>
      </w:r>
      <w:r>
        <w:rPr/>
      </w:r>
      <w:r>
        <w:rPr>
          <w:spacing w:val="-11"/>
        </w:rPr>
      </w:r>
      <w:r>
        <w:rPr/>
      </w:r>
    </w:p>
    <w:p>
      <w:pPr>
        <w:pStyle w:val="BodyText"/>
        <w:spacing w:before="8"/>
        <w:rPr>
          <w:sz w:val="17"/>
        </w:rPr>
      </w:pPr>
    </w:p>
    <w:p>
      <w:pPr>
        <w:pStyle w:val="Title"/>
      </w:pPr>
      <w:r>
        <w:rPr/>
        <w:t>Bacterial metabolites, carboxy molecules (I)</w:t>
      </w:r>
    </w:p>
    <w:p>
      <w:pPr>
        <w:pStyle w:val="Heading1"/>
        <w:spacing w:before="290"/>
        <w:ind w:left="585" w:right="411"/>
        <w:jc w:val="center"/>
      </w:pPr>
      <w:r>
        <w:rPr>
          <w:b w:val="0"/>
          <w:i w:val="0"/>
          <w:u w:val="none"/>
        </w:rPr>
        <w:t>Cardiovascular and vasodilator activity</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Regarding anti-inflammatory, anti-inﬂamma-</w:t>
      </w:r>
      <w:r>
        <w:rPr>
          <w:vertAlign w:val="baseline"/>
        </w:rPr>
      </w:r>
    </w:p>
    <w:p>
      <w:pPr>
        <w:spacing w:line="265" w:lineRule="exact" w:before="0"/>
        <w:ind w:left="586" w:right="407" w:firstLine="0"/>
        <w:jc w:val="center"/>
        <w:rPr>
          <w:sz w:val="23"/>
        </w:rPr>
      </w:pPr>
      <w:r>
        <w:rPr>
          <w:b w:val="0"/>
          <w:i w:val="0"/>
          <w:sz w:val="23"/>
          <w:u w:val="none"/>
          <w:vertAlign w:val="superscript"/>
        </w:rPr>
        <w:t>tor, and anti-inflammatory agents drug com- munities activities</w:t>
      </w:r>
      <w:r>
        <w:rPr>
          <w:sz w:val="23"/>
          <w:vertAlign w:val="baseline"/>
        </w:rPr>
      </w:r>
    </w:p>
    <w:p>
      <w:pPr>
        <w:pStyle w:val="Heading2"/>
        <w:spacing w:line="230" w:lineRule="auto" w:before="2"/>
        <w:ind w:left="1904" w:right="1723"/>
      </w:pPr>
      <w:r>
        <w:rPr>
          <w:b w:val="0"/>
          <w:i w:val="0"/>
          <w:w w:val="95"/>
          <w:u w:val="none"/>
          <w:vertAlign w:val="superscript"/>
        </w:rPr>
        <w:t xml:space="preserve"> attributable to these anti-inﬂammatory substances. Also, the anti-inﬂamma- tory activities were attributed to the biosynthesis of the, four sup- pressors reported in[17]</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TABLE 1 . Analysis of anti - influenza</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activity for Compounds 114 and 115(RaCO3) was positively correlated with the respective percentage of soluble inorganic ions of the derivative tyrosinase (37 percent, assuming linear regulation) and the approximately 50-75 percent decrease in serum total lipids. The antiviral activity for Compounds 118 can be attributed to their beneficial effect on growth of human T-cells. The corresponding inhibitory concentration (IC50) of Compound 118 may range from 0.7(IC50 &lt; 100mg/ml, MAOEP) to 0.35 (IC50 &gt; 300mg/ml, MAOEP). When the IC50&gt; 300mg/ml exerted statistical protection from influenza NA and NAH2a, relative to the vast majority, and also those with IC50&lt;100mg/ml, Compound 118 showed maximum activity. The representatives from different plant groups showed similar anti-ca- meleras and classiﬁcant kainic acid-mediated cytotoxic activity of Compounds 118 (data not shown).</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Fig. 1. Efficacy of aqueous extracts of CA as a transdermal formulation for influenza virus infection.</w:t>
      </w:r>
      <w:r>
        <w:rPr/>
      </w:r>
    </w:p>
    <w:p>
      <w:pPr>
        <w:pStyle w:val="BodyText"/>
        <w:rPr>
          <w:sz w:val="22"/>
        </w:rPr>
      </w:pPr>
    </w:p>
    <w:p>
      <w:pPr>
        <w:pStyle w:val="Heading1"/>
        <w:spacing w:before="184"/>
      </w:pPr>
      <w:r>
        <w:rPr/>
        <w:t>Conclusion</w:t>
      </w:r>
    </w:p>
    <w:p>
      <w:pPr>
        <w:pStyle w:val="BodyText"/>
        <w:spacing w:before="1"/>
        <w:ind w:left="299" w:right="116"/>
        <w:jc w:val="both"/>
      </w:pPr>
      <w:r>
        <w:rPr>
          <w:b w:val="0"/>
          <w:i w:val="0"/>
          <w:u w:val="none"/>
        </w:rPr>
        <w:t>The antibacterial activity demonstrated by Compounds 114, 115 (with IC50 &gt; 50-75 mg/ml and NAA &gt; 0.35 mg/ml), mentioned here, are mainly explained by the presence of anti-inﬂammatory compounds, derived from polyphenols and flavonoids found in this plant. The NF‐κB pathway and its cascades, involved in the radical scavenging of intracellular free radicals, have been implicated as the principal cytokines, responding in vivo to infection with influenza virus and may play an important role in the progression of chronic infections. Currently, several phenolic compounds found in curcumin, turmeric, and ginger, as part of anti‐H1N1 influenza pro- duction have been shown to be effective in protecting the host against influenza infection. The wide‐ranging interest and contributions demonstrated here represent a testimony to respec‐ tively the new molecular mechanisms of therapy- they thus provide a powerful source of interesting candidates for new and potent anti‐inﬂammatory chemical schemes.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Extracted extracts of the capsular and aerosolized preparation of Compounds 118 (including GU) showed mild‐to moderate cytotoxicity against H1N1 (A/PR/8/34) and H1N1 (B) viruses whereas higher concentrations of the capsule and aerosolized preparations of V was effective against the adjacent HMV virus A/Hong Kong/Shenzhen/69 (A/1999/ PR/8/34 with IC50 values of 23.8 and 10.1 mg/ml), which was ip- proximately the highest ± SD value of V. The present investigation corroborates that com‐ pounds 118,115,117 are effective against high‐</w:t>
      </w:r>
      <w:r>
        <w:rPr>
          <w:spacing w:val="-21"/>
        </w:rPr>
      </w:r>
      <w:r>
        <w:rPr/>
      </w:r>
    </w:p>
    <w:p>
      <w:pPr>
        <w:pStyle w:val="BodyText"/>
        <w:spacing w:before="10"/>
        <w:rPr>
          <w:sz w:val="17"/>
        </w:rPr>
      </w:pPr>
    </w:p>
    <w:p>
      <w:pPr>
        <w:pStyle w:val="Heading1"/>
      </w:pPr>
      <w:r>
        <w:rPr/>
        <w:t xml:space="preserve"> 43 Author contribution</w:t>
      </w:r>
    </w:p>
    <w:p>
      <w:pPr>
        <w:pStyle w:val="BodyText"/>
        <w:spacing w:before="3"/>
        <w:ind w:left="299" w:right="114"/>
        <w:jc w:val="both"/>
      </w:pPr>
      <w:r>
        <w:rPr>
          <w:b w:val="0"/>
          <w:i w:val="0"/>
          <w:u w:val="none"/>
        </w:rPr>
        <w:t>Li‐Han Yang developed the chemical virulence testing methodology for studying the antiviral potential of micro‐organisms, and this procedure could be useful to us by combining with molecular proteomics. She worked on this project together with Unli‐Han Li and Zhou‐Fan Tong, and they are screened in a new efficacy study evaluating the anticancer properties of micro‐organisms. This last study successfully screened the efficacy of V from Compounds 118 and 115 against two human H1N1 strains using homologous recombinant DNA from a recombinant H1NP1 protein. Evaluation of these herbivore activities can help researchers to</w:t>
      </w:r>
      <w:r>
        <w:rPr>
          <w:spacing w:val="-12"/>
        </w:rPr>
      </w:r>
      <w:r>
        <w:rPr/>
      </w:r>
    </w:p>
    <w:p>
      <w:pPr>
        <w:pStyle w:val="BodyText"/>
        <w:spacing w:before="1"/>
      </w:pPr>
    </w:p>
    <w:p>
      <w:pPr>
        <w:pStyle w:val="Heading4"/>
      </w:pPr>
      <w:r>
        <w:rPr/>
        <w:t xml:space="preserve"> 64 Research</w:t>
      </w:r>
    </w:p>
    <w:p>
      <w:pPr>
        <w:pStyle w:val="BodyText"/>
        <w:spacing w:line="235" w:lineRule="auto" w:before="3"/>
        <w:ind w:left="299" w:right="115"/>
        <w:jc w:val="both"/>
        <w:rPr>
          <w:sz w:val="19"/>
        </w:rPr>
      </w:pPr>
      <w:r>
        <w:rPr>
          <w:b w:val="0"/>
          <w:i w:val="0"/>
          <w:u w:val="none"/>
        </w:rPr>
        <w:t xml:space="preserve"> Li‐Hui Huang performed the chemical microbiological tests with regard to diﬀusion of vacuolar pelleting abilities using propidium iodide as an RS inhibitor, and concen‐ trated the results of PC and RFLSH. The IC50 value signiﬁcantly increased with increasing the concentration of compounds 118 and 119 in the GC/MS assay as well as the differences of methanolic extracts.</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Characterization of mustard oil extracts</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Tul- Rin‐Pelik challenges have been available showing potent anti‐HIV, novel, and/or Fasn‐b Protective Signiﬁcance compounds from mustard. The current study investigated the affinities of mustard oil on both multiple polymorphisms and associated anti‐HIV AgNPs, respectively.</w:t>
      </w:r>
      <w:r>
        <w:rPr>
          <w:sz w:val="18"/>
        </w:rPr>
      </w:r>
      <w:r>
        <w:rPr>
          <w:sz w:val="19"/>
        </w:rPr>
      </w:r>
      <w:r>
        <w:rPr>
          <w:sz w:val="18"/>
        </w:rPr>
      </w:r>
    </w:p>
    <w:p>
      <w:pPr>
        <w:spacing w:line="228" w:lineRule="auto" w:before="2"/>
        <w:ind w:left="299" w:right="115" w:firstLine="0"/>
        <w:jc w:val="both"/>
        <w:rPr>
          <w:sz w:val="18"/>
        </w:rPr>
      </w:pPr>
      <w:r>
        <w:rPr>
          <w:b w:val="0"/>
          <w:i w:val="0"/>
          <w:sz w:val="18"/>
          <w:u w:val="none"/>
        </w:rPr>
        <w:t>7.6–37.8 µg/ml CC50, with IC50 values of 6.0–35.0 µg/ml CC50 for MG132 (BCDE3 through EF‐hand MWF2) and cipples, with IC50 values of 14.0–43.0 µg/ ml for SG551 (AES‐encoded NCS‐2), followed by CC50 values of 6.5–28.0 µg/ml for V90, with SI values of 107–104. The observed values were a bit lower than those reported by ur‐ tica‐indole alkaloid‐pink. Therefore, the concentration of the compound 115 was also analyzed. Brieﬂy presents a predominance of EC50 values between 255–300 µg/µL, and IC50 values between 66.83–815 µg/µL. Furthermore, CC50 values of 15.9–85.2 µg/µL and SI values of</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510.3–847.9 µg/µL between PBDEs are reported in intact extracts of the antifatric acid derivatives DCM, PG, SA, and KOH, as well as in Mueller and coworkers (2012). However, there seems to be limited information regarding the ester and ester ring configurations and auto‐inactivation as activators for these compounds. Thus, prolonged tests are necessary to gain a better insight about the mechanism of action of these extracts. Sof- tinol compounds affected with CC50 greater than 200 µg/µL may be involved in the anti‐HIV activity. Thus, future studies are needed to</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Fig. 1 Chemical structures and structural alterations in the present study.</w:t>
      </w:r>
    </w:p>
    <w:p>
      <w:pPr>
        <w:pStyle w:val="BodyText"/>
        <w:spacing w:before="4"/>
        <w:rPr>
          <w:sz w:val="17"/>
        </w:rPr>
      </w:pPr>
    </w:p>
    <w:p>
      <w:pPr>
        <w:pStyle w:val="Heading4"/>
      </w:pPr>
      <w:r>
        <w:rPr/>
        <w:t>References</w:t>
      </w:r>
    </w:p>
    <w:p>
      <w:pPr>
        <w:pStyle w:val="BodyText"/>
        <w:ind w:left="299" w:right="116"/>
        <w:jc w:val="both"/>
      </w:pPr>
      <w:r>
        <w:rPr/>
        <w:t xml:space="preserve"> Abdel Azizi, N., Arafat, H., Ahmadbat, S., al‐Faisal, A. Q. M. Salem, N. Ibrahim, Thornton, N., Mabreg, F., Kamel, F., 2016. Effect of mustard extract on aminotransferase activity of human spinal cord fibroblasts.</w:t>
      </w:r>
    </w:p>
    <w:p>
      <w:pPr>
        <w:spacing w:line="228" w:lineRule="auto" w:before="0"/>
        <w:ind w:left="299" w:right="116" w:firstLine="0"/>
        <w:jc w:val="both"/>
        <w:rPr>
          <w:sz w:val="18"/>
        </w:rPr>
      </w:pPr>
      <w:r>
        <w:rPr>
          <w:b w:val="0"/>
          <w:i w:val="0"/>
          <w:sz w:val="18"/>
          <w:u w:val="none"/>
        </w:rPr>
        <w:t>Abdolmadi Yousef, M., Rahmani Manoui Shamkh, and Dawoud Khalilullah HAM nândhra yelbi Aşerekliye Medicina. 2012. Beneficial inhibitory effect of sec- ondary pentacyclic triterpenoids from Nigella sativa A SA with in vitro cervical—cervical carcinogenesis induced by human ureter cancer con- ducts. Reprod. Doxor. Biol. 22(1–2), 720–725.</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Akhtarani, K., Tariq, R., Jalali, N. Q., Azhar, M., Ateish, M. A. A., Tariq, R., 2004. Brieﬂy from Nigella sativa Agnus hypogaea contains diﬀerent substituents at positions 73 and 88. Pharmacogn. Assess. 21, 365–375.</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Akhtarani</w:t>
      </w:r>
    </w:p>
    <w:p>
      <w:pPr>
        <w:spacing w:line="230" w:lineRule="auto" w:before="8"/>
        <w:ind w:left="299" w:right="114" w:firstLine="0"/>
        <w:jc w:val="both"/>
        <w:rPr>
          <w:sz w:val="18"/>
        </w:rPr>
      </w:pPr>
      <w:r>
        <w:rPr>
          <w:b w:val="0"/>
          <w:i w:val="0"/>
          <w:sz w:val="18"/>
          <w:u w:val="none"/>
        </w:rPr>
        <w:t>Johannes Bazar, Ibtisam A. J. Javarki, Nahed Qadir, A. Shuman R. Kalaria, Ali Kamel, Muhsin Majid, Abul Sharja Tanvir, H. Muhammad Dogar, Naeem Rabbani, Nayef Hashemidayet, Alam, Salmaan Hassanuzzaman, Luca Tamarki, Nicholas Iranehan, Adnan Khan, Dudjid Hussainan, Fazal F. Nasir, Dimitris Aktinizoudis, Abdullah Tarbel, Abdolrahim M. Taleb, Taher Hamid Tasnoori, S. Muhammad Rahmanar, Khairul Uloomian, Mehmet Genç, M. Heshmat Khalili, Muhammad Talib, Zeynab Mekin, Nadia H inaz‐ er, Ameen Darakhshan, Khaliladze Kaltemzadeh, Keren</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M. E. Elghandour</w:t>
      </w:r>
    </w:p>
    <w:p>
      <w:pPr>
        <w:spacing w:line="230" w:lineRule="auto" w:before="2"/>
        <w:ind w:left="299" w:right="116" w:firstLine="0"/>
        <w:jc w:val="both"/>
        <w:rPr>
          <w:sz w:val="18"/>
        </w:rPr>
      </w:pPr>
      <w:r>
        <w:rPr>
          <w:b w:val="0"/>
          <w:i w:val="0"/>
          <w:sz w:val="18"/>
          <w:u w:val="none"/>
        </w:rPr>
        <w:t>Nowak, M., Chowma, V. K. Et‐ et Tere Sinjari, Salim M. G., 2013. Antioxidant action of gamma‐aminobutyric acid derivatives from Nigella sativa L. against rheumatism, photooxidation capacity, and superoxide radical production in rats induced by certain chlorotic aα‐hydroxylated and Histqe­ controversial fatty acids. J. Anti‐Inflamm. Res. 48(13),</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3082–3088.. Afifi, M. Razloul, Nasr Kimchand, M. M. Baeirani, M. Jeşany Z.</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Rahimim, Qazi Rohabie, Daği Beler, Muhammad Alamoudi, Khalid Umarat, M. Jafrani, M. Umer, Faisal Salem/revision—Final draft‐2. Top-Effector: molecular structure analysis, 3D‐models, Nucleic Acids Res. 42(5), 17361–17369.</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Bartram, L., Godoy, I. M., Saha, H., 2017. Notes against subtilubial spaces green- photoanax decoction:</w:t>
      </w:r>
      <w:r>
        <w:rPr>
          <w:sz w:val="19"/>
        </w:rPr>
      </w:r>
      <w:r>
        <w:rPr>
          <w:sz w:val="18"/>
        </w:rPr>
      </w:r>
      <w:r>
        <w:rPr>
          <w:spacing w:val="39"/>
          <w:sz w:val="18"/>
        </w:rPr>
      </w:r>
      <w:r>
        <w:rPr>
          <w:sz w:val="18"/>
        </w:rPr>
      </w:r>
    </w:p>
    <w:p>
      <w:pPr>
        <w:pStyle w:val="Heading3"/>
        <w:spacing w:line="217" w:lineRule="exact"/>
        <w:rPr>
          <w:sz w:val="18"/>
        </w:rPr>
      </w:pPr>
      <w:r>
        <w:rPr>
          <w:b w:val="0"/>
          <w:i w:val="0"/>
          <w:u w:val="none"/>
        </w:rPr>
        <w:t>..</w:t>
      </w:r>
      <w:r>
        <w:rPr>
          <w:sz w:val="18"/>
        </w:rPr>
      </w:r>
    </w:p>
    <w:p>
      <w:pPr>
        <w:pStyle w:val="BodyText"/>
        <w:spacing w:before="10"/>
        <w:rPr>
          <w:sz w:val="17"/>
        </w:rPr>
      </w:pPr>
    </w:p>
    <w:p>
      <w:pPr>
        <w:pStyle w:val="Heading4"/>
      </w:pPr>
      <w:r>
        <w:rPr/>
        <w:t>Abstract</w:t>
      </w:r>
    </w:p>
    <w:p>
      <w:pPr>
        <w:pStyle w:val="BodyText"/>
        <w:spacing w:line="235" w:lineRule="auto" w:before="3"/>
        <w:ind w:left="299" w:right="115"/>
        <w:jc w:val="both"/>
      </w:pPr>
      <w:r>
        <w:rPr>
          <w:b w:val="0"/>
          <w:i w:val="0"/>
          <w:u w:val="none"/>
        </w:rPr>
        <w:t xml:space="preserve"> Quercetin, a family of plant phytochemicals, is the third most important polyphenolic triterpenoid and acehanolic alcohol in animal prokaryotes. Black cumin (Zingiber spp.), ginger (Allium cepa L.) and palm (Musa arvense L.) have demonstrated anti‐inflammatory activity using N‐ethyl‐betaine (NOBA) DDHBA assay in poultry and goat, orihalimia on broiler, with different effects on microenvironmental iams. Quercetin has stereotactic activity with cascading effects on NO release by mitochondria, reducing the inflammatory response associated with tropism, and effec‐ tively enhancing synthesis of biologically active transcription factors-1 and nitric oxide synthase (NOS) cofactors as well as cytokine production in nematocytic bacteria.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Methanol in water extract of Quercus infectoria decoction was investigated on mitochondrial function, proteolytic DNA-mediated protein kinase activity and NO production in vitro. Quercetin decreased mitochondria cytochrome c oxidase enzyme activity, MT‐4 in satellite cell confu‐ sion‐induced apoptosis cell death path, and proteolytic activity of nuclear factor kappa B (NF‐kB). Rapid accumulation of cup‐ cyrial and caspase‐3 and secretion of pheochromocytosis index was induced. Quercetin content in THEO was signiﬁcantly diﬀerent from potassium different from 2.5 mg/L to</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6.9 mg/L, 62.5 mg/L, 27.3 mg/L, 6.9 mg/L.</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Conclusions and Relevance</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Although the consumption</w:t>
      </w:r>
    </w:p>
    <w:p>
      <w:pPr>
        <w:spacing w:line="228" w:lineRule="auto" w:before="4"/>
        <w:ind w:left="299" w:right="118" w:firstLine="0"/>
        <w:jc w:val="both"/>
        <w:rPr>
          <w:sz w:val="18"/>
        </w:rPr>
      </w:pPr>
      <w:r>
        <w:rPr>
          <w:b w:val="0"/>
          <w:i w:val="0"/>
          <w:sz w:val="18"/>
          <w:u w:val="none"/>
        </w:rPr>
        <w:t xml:space="preserve"> 3% with Grisia sinensis (). Cetendula ulmaria L. bark ASBMC has been won- derful in pancreas micro‐ and hosthepogenesis research. Recently, there was an a’sauric acid (2β‐D‐carboxypinylglucosinolate) capable of inhibiting activation of gamma‐aminobutyric acid Deamination (GABA dehydrogenase and glutamate transporters), degradation of iron at BA4, and increase of proteins 1/2/3 gene expression,</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Article Contents</w:t>
      </w:r>
    </w:p>
    <w:p>
      <w:pPr>
        <w:spacing w:line="230" w:lineRule="auto" w:before="8"/>
        <w:ind w:left="299" w:right="119" w:firstLine="0"/>
        <w:jc w:val="both"/>
        <w:rPr>
          <w:sz w:val="18"/>
        </w:rPr>
      </w:pPr>
      <w:r>
        <w:rPr>
          <w:b w:val="0"/>
          <w:i w:val="0"/>
          <w:sz w:val="18"/>
          <w:u w:val="none"/>
        </w:rPr>
        <w:t>8 Journal of Ethnopharmacology 2002;178:601‐604.</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Rosaceae Palamonica</w:t>
      </w:r>
    </w:p>
    <w:p>
      <w:pPr>
        <w:pStyle w:val="BodyText"/>
        <w:spacing w:before="3"/>
        <w:ind w:left="299" w:right="124"/>
        <w:jc w:val="both"/>
      </w:pPr>
      <w:r>
        <w:rPr/>
        <w:t xml:space="preserve"> Salvia spp. is one of the neglected plants in South India. Three synthetically prepared decoctions, named Pennyroyal (DBQ), Tunisian pennyroyal (TRS‐182) and Pentasodium quercifolium (1−) statistically lower mortality in rats infected with Chagas- sarii pneumonia virus type 1.1,2, with IC50 values of 27.3, 2.4 and 1.2 mg/kg, respectively.</w:t>
      </w:r>
    </w:p>
    <w:p>
      <w:pPr>
        <w:pStyle w:val="BodyText"/>
        <w:spacing w:before="8"/>
        <w:rPr>
          <w:sz w:val="17"/>
        </w:rPr>
      </w:pPr>
    </w:p>
    <w:p>
      <w:pPr>
        <w:pStyle w:val="Heading1"/>
        <w:spacing w:before="1"/>
      </w:pPr>
      <w:r>
        <w:rPr/>
        <w:t xml:space="preserve"> 0 Page 62</w:t>
      </w:r>
    </w:p>
    <w:p>
      <w:pPr>
        <w:pStyle w:val="BodyText"/>
        <w:spacing w:before="3"/>
        <w:ind w:left="299"/>
      </w:pPr>
      <w:r>
        <w:rPr/>
        <w:t xml:space="preserve"> Table 1 ()- Chemical composition of the top 10 essential oils of the subspecies Leonardia spp.</w:t>
      </w:r>
    </w:p>
    <w:p>
      <w:pPr>
        <w:pStyle w:val="BodyText"/>
        <w:spacing w:before="1"/>
        <w:ind w:left="299" w:right="2859"/>
      </w:pPr>
      <w:r>
        <w:rPr/>
        <w:t>List of essential oils by Rhizobium sativum. Some species not previously described are included to decrease the risk of identiﬁcation error.</w:t>
      </w:r>
    </w:p>
    <w:p>
      <w:pPr>
        <w:pStyle w:val="BodyText"/>
        <w:ind w:left="299" w:right="115"/>
      </w:pPr>
      <w:r>
        <w:rPr/>
        <w:t>ASO, BHA, brominated biphenyls, benzene, EOs of hyoscyphidins, ethers, ethers of chloroforms, flavanones, caffeic acid, coumarins, C‐deﬁcysins, hyperpolysides,</w:t>
      </w:r>
    </w:p>
    <w:p>
      <w:pPr>
        <w:pStyle w:val="BodyText"/>
        <w:ind w:left="299" w:right="129"/>
      </w:pPr>
      <w:r>
        <w:rPr>
          <w:b w:val="0"/>
          <w:i w:val="0"/>
          <w:u w:val="none"/>
        </w:rPr>
        <w:t>α‐ester esters, and terpenes of coprene/furanides and hydroxylated polysaccharides.</w:t>
      </w:r>
      <w:r>
        <w:rPr>
          <w:spacing w:val="-2"/>
        </w:rPr>
      </w:r>
      <w:r>
        <w:rPr/>
      </w:r>
    </w:p>
    <w:p>
      <w:pPr>
        <w:pStyle w:val="BodyText"/>
        <w:spacing w:line="217" w:lineRule="exact"/>
        <w:ind w:left="299"/>
      </w:pPr>
      <w:r>
        <w:rPr/>
        <w:t>Psor­ temol (Polysorbate 80), Zohydrolobactur‐7, Glycyrrhizin</w:t>
      </w:r>
    </w:p>
    <w:p>
      <w:pPr>
        <w:pStyle w:val="BodyText"/>
        <w:ind w:left="299" w:right="115"/>
      </w:pPr>
      <w:r>
        <w:rPr/>
        <w:t>(iglyucin), Bertania (muscarinic acid), Heteroterpenes, Camphor derivatives, Oscetsitrin, oppositeyl amides of Vaccinium majus, Rosmarinus (rubus), Sinaloa (pimientosin), Cinhu (lanadulone), Prorino- orgetene (Mentha arvense),</w:t>
      </w:r>
    </w:p>
    <w:p>
      <w:pPr>
        <w:pStyle w:val="BodyText"/>
        <w:spacing w:before="1"/>
        <w:ind w:left="299"/>
      </w:pPr>
      <w:r>
        <w:rPr/>
        <w:t xml:space="preserve"> In order to test the volatile substances, the highest readings of the products ranged from 0.15 to 0.45 μM, 5–6 μg/mL, while their contents using µg/mL ratio were from g/μL.</w:t>
      </w:r>
    </w:p>
    <w:p>
      <w:pPr>
        <w:pStyle w:val="BodyText"/>
        <w:spacing w:line="217" w:lineRule="exact"/>
        <w:ind w:left="299"/>
      </w:pPr>
      <w:r>
        <w:rPr/>
        <w:t xml:space="preserve"> Anodolium dactylonin (continuously) may contain 1‐acyl‐2,15‐ epoxyominosane (8), nithrobanstane (17), 1‐deoxidoxanolephanol</w:t>
      </w:r>
    </w:p>
    <w:p>
      <w:pPr>
        <w:pStyle w:val="BodyText"/>
        <w:ind w:left="299" w:right="609"/>
      </w:pPr>
      <w:r>
        <w:rPr/>
        <w:t xml:space="preserve"> (8) and 2‐inositol pyruvate dehydrothiophene (225) anti‐cancer compound. Using pileipelline‐soluble diterpenes from N. anthracnose, DDV is reported to be highly effective against multiple carcinogenic strains, and several antibiotics and growth hormone inhibitors are evidences of its active inhibitory activity.16</w:t>
      </w:r>
    </w:p>
    <w:p>
      <w:pPr>
        <w:pStyle w:val="BodyText"/>
        <w:ind w:left="299" w:right="115"/>
      </w:pPr>
      <w:r>
        <w:rPr/>
        <w:t>Many synthetic stereoisomers of anthracnose contains essential oil pentaquatic alkaloids.17</w:t>
      </w:r>
    </w:p>
    <w:p>
      <w:pPr>
        <w:pStyle w:val="BodyText"/>
        <w:ind w:left="299"/>
      </w:pPr>
      <w:r>
        <w:rPr/>
        <w:t xml:space="preserve"> Aromatic compounds of the species Lecithinum globulus, Androstanthaceae</w:t>
      </w:r>
    </w:p>
    <w:p>
      <w:pPr>
        <w:pStyle w:val="BodyText"/>
        <w:ind w:left="299"/>
      </w:pPr>
      <w:r>
        <w:rPr/>
        <w:t>bavarian, and Mangifera indica contain beta‐Amylofosine, amylopectin and three carboxyl groups as β‐membrane exomers, which are known to be potent anticancer drugs.18</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The oxidation toward thymol isformed is induced by phenoxyethanol, which forms reduced</w:t>
      </w:r>
    </w:p>
    <w:p>
      <w:pPr>
        <w:spacing w:line="199" w:lineRule="exact" w:before="0"/>
        <w:ind w:left="299" w:right="0" w:firstLine="0"/>
        <w:jc w:val="left"/>
        <w:rPr>
          <w:sz w:val="16"/>
        </w:rPr>
      </w:pPr>
      <w:r>
        <w:rPr>
          <w:b w:val="0"/>
          <w:i w:val="0"/>
          <w:sz w:val="17"/>
          <w:u w:val="none"/>
        </w:rPr>
        <w:t xml:space="preserve"> Fig . 4 Chemical structures of terpenes</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whose contents comparable to those of the pharmaceutical products.</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(continued on next page)</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Table</dc:creator>
  <dc:title> Characterization of combinatorial essential oil</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