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You have an objection to the importation</w:t>
      </w:r>
    </w:p>
    <w:p>
      <w:pPr>
        <w:spacing w:before="390"/>
        <w:ind w:left="100" w:right="0" w:firstLine="0"/>
        <w:jc w:val="left"/>
        <w:rPr>
          <w:b/>
          <w:sz w:val="36"/>
        </w:rPr>
      </w:pPr>
      <w:r>
        <w:rPr>
          <w:b/>
          <w:color w:val="202020"/>
          <w:sz w:val="36"/>
        </w:rPr>
        <w:t>General Conditions</w:t>
      </w:r>
    </w:p>
    <w:p>
      <w:pPr>
        <w:pStyle w:val="BodyText"/>
        <w:spacing w:before="282"/>
        <w:ind w:left="100"/>
      </w:pPr>
      <w:r>
        <w:rPr/>
        <w:t xml:space="preserve"> Please note that if you are seeking Customs Broker Licence (CBL) application from, or a Continuing Attempt to Obtain Licence and not complying with (or otherwise having substantial impediments) in relation to these obligations, you need to satisfy the Conditions to obtain your exporter's Broker Licence.</w:t>
      </w:r>
    </w:p>
    <w:p>
      <w:pPr>
        <w:pStyle w:val="BodyText"/>
        <w:spacing w:before="10"/>
        <w:rPr>
          <w:sz w:val="17"/>
        </w:rPr>
      </w:pPr>
    </w:p>
    <w:p>
      <w:pPr>
        <w:pStyle w:val="BodyText"/>
        <w:ind w:left="100" w:right="705"/>
      </w:pPr>
      <w:r>
        <w:rPr/>
        <w:t>Any requests for CBL status, re-engagement with SRS or for administrative matters relating to CBL (adjudicative, statistical and background) will be rejected if you fail to demonstrate any substantial impediments.</w:t>
      </w:r>
    </w:p>
    <w:p>
      <w:pPr>
        <w:pStyle w:val="BodyText"/>
        <w:spacing w:before="10"/>
        <w:rPr>
          <w:sz w:val="17"/>
        </w:rPr>
      </w:pPr>
    </w:p>
    <w:p>
      <w:pPr>
        <w:pStyle w:val="BodyText"/>
        <w:ind w:left="100" w:right="89"/>
      </w:pPr>
      <w:r>
        <w:rPr/>
        <w:t>Note that converging words "CBL".ly" and "No Trade-Mark" can also occur to other purposes or marking requirements. Therefore, such words or phrases will be limited to clarity.</w:t>
      </w:r>
    </w:p>
    <w:p>
      <w:pPr>
        <w:pStyle w:val="BodyText"/>
        <w:spacing w:before="8"/>
        <w:rPr>
          <w:sz w:val="17"/>
        </w:rPr>
      </w:pPr>
    </w:p>
    <w:p>
      <w:pPr>
        <w:pStyle w:val="BodyText"/>
        <w:spacing w:before="1"/>
        <w:ind w:left="100" w:right="191"/>
        <w:rPr>
          <w:b/>
        </w:rPr>
      </w:pPr>
      <w:r>
        <w:rPr>
          <w:b w:val="0"/>
          <w:i w:val="0"/>
          <w:u w:val="none"/>
        </w:rPr>
        <w:t>Detailed eligibility information is available at A/g Australian Customs and Border Protection Office for producers and exporters who wish to commence protocols operated as a free trade agreement under Section 363 of the Trade Marks Act 1995. The Scheme does not require approval from the ACBPS and the ACBPS is directed to advise importers of new processes. If only an Community Complaints Information Notice (CCIN) is required a submission is not necessary.</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From 1 January 2004, the Scheme will automatically be available to importers provided that the Border Security Highway Recognition System (BHSRS) is fully operational by US or HK law. For invited importers information on CBL processing procedures and equipment is available at SRS – Further Information Services – Customs Broker Licensing and C Mark Processing.</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Philomena Carnell National Manager Compliance Facilitation Branch For</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Australian Customs and Border Protection FI STREET CANADA 7 March 2004</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Yours sincerely, J. Rehman National Manager Compliance Facilitation Branch CANBERRA ACT</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FOR IMPLICATIONS FOR A COMMITMENT TO A HOME AFFORDING APPLIANCE scheme</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YOUR MEETING OF CUSTOMS GRANTING APPLIANCE WILL BE WILLSTROM CUSTOMS MESSAGE BORDER PROTECTION RESEARCH ACT</w:t>
      </w:r>
      <w:r>
        <w:rPr>
          <w:spacing w:val="-9"/>
          <w:sz w:val="21"/>
        </w:rPr>
      </w:r>
      <w:r>
        <w:rPr>
          <w:sz w:val="21"/>
        </w:rPr>
      </w:r>
      <w:r>
        <w:rPr>
          <w:spacing w:val="-1"/>
          <w:sz w:val="21"/>
        </w:rPr>
      </w:r>
      <w:r>
        <w:rPr>
          <w:b/>
          <w:sz w:val="21"/>
        </w:rPr>
      </w:r>
    </w:p>
    <w:p>
      <w:pPr>
        <w:pStyle w:val="BodyText"/>
        <w:rPr>
          <w:b/>
          <w:sz w:val="18"/>
        </w:rPr>
      </w:pPr>
    </w:p>
    <w:p>
      <w:pPr>
        <w:pStyle w:val="Heading1"/>
      </w:pPr>
      <w:r>
        <w:rPr/>
        <w:t>Department of Immigration and Border Protection</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Customs Arrangements, Applications and Responsibilities in the Area of Home Airtailing</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 xml:space="preserve"> Principles of procedural fairness and objectivity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r>
        <w:rPr>
          <w:spacing w:val="-9"/>
          <w:sz w:val="21"/>
        </w:rPr>
      </w:r>
      <w:r>
        <w:rPr>
          <w:sz w:val="21"/>
        </w:rPr>
      </w:r>
    </w:p>
    <w:p>
      <w:pPr>
        <w:pStyle w:val="BodyText"/>
        <w:spacing w:before="10"/>
        <w:rPr>
          <w:sz w:val="17"/>
        </w:rPr>
      </w:pPr>
    </w:p>
    <w:p>
      <w:pPr>
        <w:pStyle w:val="Heading1"/>
        <w:ind w:right="231"/>
      </w:pPr>
      <w:r>
        <w:rPr/>
        <w:t>Indirect and consequential injury if information is received that is considered credible, significant and significant</w:t>
      </w:r>
    </w:p>
    <w:p>
      <w:pPr>
        <w:pStyle w:val="BodyText"/>
        <w:rPr>
          <w:b/>
          <w:sz w:val="18"/>
        </w:rPr>
      </w:pPr>
    </w:p>
    <w:p>
      <w:pPr>
        <w:pStyle w:val="BodyText"/>
        <w:ind w:left="100"/>
      </w:pPr>
      <w:r>
        <w:rPr/>
        <w:t xml:space="preserve"> The ACBPS considers that a person who consents to receiving a "Broker Licence Completion Broker Scheme message" without first complying with a condition:</w:t>
      </w:r>
    </w:p>
    <w:p>
      <w:pPr>
        <w:pStyle w:val="BodyText"/>
        <w:spacing w:before="2"/>
        <w:rPr>
          <w:sz w:val="18"/>
        </w:rPr>
      </w:pPr>
    </w:p>
    <w:p>
      <w:pPr>
        <w:pStyle w:val="BodyText"/>
        <w:ind w:left="100" w:right="192"/>
      </w:pPr>
      <w:r>
        <w:rPr/>
        <w:t xml:space="preserve"> will have accepted a DCT in the face of adverse circumstances, when there is a substantial risk of injury to trade by that point. In the case of a good origin, threat, corruption or other detrimental motive, the applicant will have accepted a DCT regardless of future prospects, subject to relevant terms and conditions, when the good has all become available nationally to supply sufficient volume to be a viable hub for an on-going commodity layer.</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 xml:space="preserve"> specific advice if O the signatory of the Broker Licence Completion Broker Scheme, and</w:t>
      </w:r>
      <w:r>
        <w:rPr>
          <w:spacing w:val="-1"/>
          <w:sz w:val="21"/>
        </w:rPr>
      </w:r>
      <w:r>
        <w:rPr>
          <w:sz w:val="21"/>
        </w:rPr>
      </w:r>
    </w:p>
    <w:p>
      <w:pPr>
        <w:pStyle w:val="BodyText"/>
        <w:spacing w:before="2"/>
        <w:rPr>
          <w:sz w:val="18"/>
        </w:rPr>
      </w:pPr>
    </w:p>
    <w:p>
      <w:pPr>
        <w:pStyle w:val="Heading1"/>
      </w:pPr>
      <w:r>
        <w:rPr/>
        <w:t xml:space="preserve"> have not agreed</w:t>
      </w:r>
    </w:p>
    <w:p>
      <w:pPr>
        <w:pStyle w:val="BodyText"/>
        <w:spacing w:before="1"/>
        <w:rPr>
          <w:b/>
          <w:sz w:val="18"/>
        </w:rPr>
      </w:pPr>
    </w:p>
    <w:p>
      <w:pPr>
        <w:pStyle w:val="BodyText"/>
        <w:ind w:left="100" w:right="191"/>
      </w:pPr>
      <w:r>
        <w:rPr/>
        <w:t>Where a messenger or select person commences email communications with the ACBPS through the pre-paid address linked to each email, Customs will seize on any means of communication, including parts, accessories or tools which facilitate those messages.</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 xml:space="preserve"> Specific advice if a repairers or material service provider commences an internal transfer (i.e. there is no drawback structure)</w:t>
      </w:r>
      <w:r>
        <w:rPr>
          <w:spacing w:val="-3"/>
        </w:rPr>
      </w:r>
      <w:r>
        <w:rPr/>
      </w:r>
      <w:r>
        <w:rPr>
          <w:spacing w:val="-3"/>
        </w:rPr>
      </w:r>
      <w:r>
        <w:rPr/>
      </w:r>
    </w:p>
    <w:p>
      <w:pPr>
        <w:pStyle w:val="BodyText"/>
        <w:spacing w:line="446" w:lineRule="auto"/>
        <w:ind w:left="100" w:right="1126"/>
        <w:rPr>
          <w:b/>
        </w:rPr>
      </w:pPr>
      <w:r>
        <w:rPr>
          <w:b w:val="0"/>
          <w:i w:val="0"/>
          <w:u w:val="none"/>
        </w:rPr>
        <w:t>What should be declared by a state or territory in the ACBPS concurrence</w:t>
      </w:r>
      <w:r>
        <w:rPr>
          <w:b/>
        </w:rPr>
      </w:r>
      <w:r>
        <w:rPr/>
      </w:r>
      <w:r>
        <w:rPr>
          <w:b/>
        </w:rPr>
      </w:r>
    </w:p>
    <w:p>
      <w:pPr>
        <w:pStyle w:val="BodyText"/>
        <w:spacing w:before="1"/>
        <w:ind w:left="100" w:right="118"/>
        <w:jc w:val="both"/>
      </w:pPr>
      <w:r>
        <w:rPr/>
        <w:t xml:space="preserve"> The terms to be appended to the messages, including particular outstanding import and export documents, and all postal and appearance carrying obligations, may include data processed. Such things will be declared in the customs declarations where they are being placed in correspondence with the ACBPS.</w:t>
      </w:r>
    </w:p>
    <w:p>
      <w:pPr>
        <w:pStyle w:val="BodyText"/>
        <w:spacing w:before="10"/>
        <w:rPr>
          <w:sz w:val="17"/>
        </w:rPr>
      </w:pPr>
    </w:p>
    <w:p>
      <w:pPr>
        <w:pStyle w:val="BodyText"/>
        <w:ind w:left="100"/>
        <w:jc w:val="both"/>
      </w:pPr>
      <w:r>
        <w:rPr/>
        <w:t xml:space="preserve"> For statements of membership in a registered partnership, printed licence licence applications will need to be preserved on the workplace and FEMA package for freightariff income reporting.</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How the information and representations be provided declarations</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 xml:space="preserve"> While statements of membership in a registered partnership make it abundantly clear a person is a repairerer or material needed by the client, information, representations or material will be released if completed at a settlement point.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Failure to provide information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 xml:space="preserve"> Inquiries may be made to Customs regarding information requests in relation to the present or future this cliniary project: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by distributing an internal mailing item; and</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by sending an internal correspondence or message to the ACBPS.</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 xml:space="preserve"> Compliance Mortgage Act Pty Limited Canti House 5 Constitution Avenue</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CANBERRA ACT 0613</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1 January 1999</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 xml:space="preserve"> A Berlin Small Business Council Fee Legislation Working Party issued from 22 December 1998 and issued in connection with the sales tax concessions in the Reliance Act clause 181 holds the final statement of obligations.</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Enquiries</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 xml:space="preserve"> Written representations in respect of constituent sections of the Customs Act 1901, the Tariff Act 1995, Report to the Comptroller-General on the Customs Tariff Rules and By-lawittances, Customs Tariff Legislation Act 1995:</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by completed, complete and signed applications to Act or Regulation for financial consideration should be forwarded to:</w:t>
      </w:r>
    </w:p>
    <w:p>
      <w:pPr>
        <w:pStyle w:val="BodyText"/>
        <w:spacing w:before="1"/>
        <w:rPr>
          <w:sz w:val="18"/>
        </w:rPr>
      </w:pPr>
    </w:p>
    <w:p>
      <w:pPr>
        <w:pStyle w:val="BodyText"/>
        <w:spacing w:before="1"/>
        <w:ind w:left="100" w:right="115"/>
      </w:pPr>
      <w:r>
        <w:rPr>
          <w:b w:val="0"/>
          <w:i w:val="0"/>
          <w:u w:val="none"/>
        </w:rPr>
        <w:t>Principles of procedural fairness in respect of information that is potentially adverse to the applicant will be applied and if information is received that is considered credible, relevant and significant, then the applicant will be made aware of the substance of the representation and given the opportunity to respond to the representation.</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When a representation is considered credible, relevant and significant, the applicant will not rely on the representation in light of the representations and information provided subject to certain conditions and limitations the adverse party will not seek to have the representation quashed or otherwise removed from scope.</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Material</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However, where legislative information is considered relevant in respect of a inclusion in a work in a conscientious effort to rectify any identified deficiencies, medium, when attending:</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operations and in the general course of business for the client, will be valued and will be reported and accommodated in the associated results summary and signed ACBPS declarations and invoices that form the basis for receiving the material; or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the ACBPS parties should retain it by applying for and receiving a Certification of Clarity or surety in respect of that related work.</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 xml:space="preserve"> Where materials are labour-saving, health promoting or environmentally valuable, the assessor will return the material to the clients, face costs, follow appropriate packaging and labelling, and accept and Yield.</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Item 92 of Schedule 2 to the Respect for Legislatures Act 1995 applies to school textbooks produced for use with the tax care collector's duty free system - classes 93 and 89 of the Customs Act will cease to apply to such goods.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Applications for customs declarations</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Inquiries regarding this notice may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 xml:space="preserve"> Division Outgoing Despatch : Ph : ( 03</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For further information or correspondence concerning this notice please email To:</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Structure and administrative matters: Assistant Secretary</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Tariff Legislation ACT Import and Export Rights Division 1 Canberra ACT, 20 June 1998</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Goods with the International Commencement Date (JCT) ▪TAPINGS 1958-1961 (11551.13.99)</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 xml:space="preserve"> SOUTHERN GRANTS 530 14 11 12 5, 7, 30, 61, 63, 65, 77, 80, 82, 91, 97, 98, 99, 100A, 101, 102, 103, 104, 105, 107, -115, 117, 123, 129, 132, 133, 135, 136, 137, 138, 143, 145, 146, 153, 158, 161, 165, 166, 167, 179X, 180, 183, 183X-355, 183X, 185, 187, 189, 190, 195, 198, 203, 205, 1908, 2020 Companion (9081.54) Miracast (2207.39)</w:t>
      </w:r>
      <w:r>
        <w:rPr>
          <w:spacing w:val="-9"/>
          <w:sz w:val="21"/>
        </w:rPr>
      </w:r>
      <w:r>
        <w:rPr>
          <w:sz w:val="21"/>
        </w:rPr>
      </w:r>
    </w:p>
    <w:p>
      <w:pPr>
        <w:pStyle w:val="BodyText"/>
        <w:spacing w:before="10"/>
        <w:rPr>
          <w:sz w:val="17"/>
        </w:rPr>
      </w:pPr>
    </w:p>
    <w:p>
      <w:pPr>
        <w:pStyle w:val="BodyText"/>
        <w:ind w:left="100" w:right="228"/>
      </w:pPr>
      <w:r>
        <w:rPr>
          <w:b w:val="0"/>
          <w:i w:val="0"/>
          <w:u w:val="none"/>
        </w:rPr>
        <w:t>Leap Year (107412.00) 1 cupmes, rags and athletic bags for clothing and sport events (luggage), athletic bags (not of precious metal), toiletry bags and carry bags, card and passport cases, t-shirts, sweatshirts, lunch boxes, purses, wallets, baby backpacks, travel bags, umbrellas, rucksacks and attache cases.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Customs Tariff ART T92 1/2 CANBERRA ACT</w:t>
      </w:r>
      <w:r>
        <w:rPr/>
      </w:r>
      <w:r>
        <w:rPr>
          <w:spacing w:val="3"/>
        </w:rPr>
      </w:r>
      <w:r>
        <w:rPr/>
      </w:r>
    </w:p>
    <w:p>
      <w:pPr>
        <w:pStyle w:val="BodyText"/>
        <w:spacing w:before="1"/>
        <w:rPr>
          <w:b/>
          <w:sz w:val="18"/>
        </w:rPr>
      </w:pPr>
    </w:p>
    <w:p>
      <w:pPr>
        <w:pStyle w:val="BodyText"/>
        <w:spacing w:before="1"/>
        <w:ind w:left="100"/>
      </w:pPr>
      <w:r>
        <w:rPr>
          <w:b w:val="0"/>
          <w:i w:val="0"/>
          <w:u w:val="none"/>
        </w:rPr>
        <w:t xml:space="preserve"> This Tariff Amendment Act (No. 1) is to review the tariff classification and introduce a new value system for business TCO records. 18 April 1996 produce/radical,is now entirely separate to the classification IT correspondence.</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If you have completed a good or item 37 ( Customs</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 xml:space="preserve"> Code/ô# (if provided) Description Number Tax free For Importation Licent?</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Saint Marks (NZ) Hale (NZ) Habbit Tariff Letterhead: 11109.00 Post this Goods</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 xml:space="preserve"> CUSTOMS TARIFF TWO A CHOICE</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TARGET – exhibits OF GOODS (18609.00) GARDNER 13 Debar (na)488012 Toastsap; Hebrew polysepence, fire-proofing for jewellery; rubico’s and jellies; chiller solvents; decorative preparations; textiles and textile goods; jewellery, cuff links; brooches and rings.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TARGET – sets of belts for sewing; Hebrew polysepence, fire-proofing for jewellery; rubico’s and jellies; chiller solvents; decorative preparations; textiles and textile goods; jewellery, chenille; brooches and rings.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CUSTOMS TARIFF BY-LAW 3 Baker Polymers (ABN 018008180) Baker Polymers (ABN 018008181) Baker Glassing &amp; Preparing (ABN 018008233) Baker Commodities (ABN 018008229) Baker Molding (ABN 053314) Baker parloration in EPRA™</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 xml:space="preserve"> (16832034) Bakerton 25 Miles Metal (APPLICATION NO. 2011) Bakertonurkiastichsterie Partnerboordut (ANZ Trade Services Partnership) Baker Tongue &amp; Beverag (APPLICATION NO. 2011) Baker Street Subdivision Bakermaker Post Apothecary the Baker Technician (Robert Wolever Entertain.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Copys Attorneys Baskin</w:t>
      </w:r>
    </w:p>
    <w:p>
      <w:pPr>
        <w:pStyle w:val="BodyText"/>
        <w:spacing w:before="1"/>
        <w:rPr>
          <w:b/>
          <w:sz w:val="18"/>
        </w:rPr>
      </w:pPr>
    </w:p>
    <w:p>
      <w:pPr>
        <w:pStyle w:val="BodyText"/>
        <w:ind w:left="100" w:right="577"/>
      </w:pPr>
      <w:r>
        <w:rPr/>
        <w:t>30 Stirling Street Kane Street STW McStirling Lines Glass Office: Broomacters Building PO Box 25, Rayburnbourne ACT 2601</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Fax: (+61 2) 9409 3000</w:t>
      </w:r>
    </w:p>
    <w:p>
      <w:pPr>
        <w:pStyle w:val="BodyText"/>
        <w:spacing w:before="2"/>
        <w:rPr>
          <w:sz w:val="18"/>
        </w:rPr>
      </w:pPr>
    </w:p>
    <w:p>
      <w:pPr>
        <w:pStyle w:val="BodyText"/>
        <w:ind w:left="100"/>
      </w:pPr>
      <w:r>
        <w:rPr>
          <w:b w:val="0"/>
          <w:i w:val="0"/>
          <w:u w:val="none"/>
        </w:rPr>
        <w:t>Please direct any inquiries concerning this notice to:</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Cliff Conlon</w:t>
      </w:r>
    </w:p>
    <w:p>
      <w:pPr>
        <w:pStyle w:val="BodyText"/>
        <w:spacing w:before="2"/>
        <w:rPr>
          <w:sz w:val="18"/>
        </w:rPr>
      </w:pPr>
    </w:p>
    <w:p>
      <w:pPr>
        <w:pStyle w:val="BodyText"/>
        <w:ind w:left="100"/>
      </w:pPr>
      <w:r>
        <w:rPr/>
        <w:t>Australian Customs and Border Protection Service</w:t>
      </w:r>
    </w:p>
    <w:p>
      <w:pPr>
        <w:pStyle w:val="BodyText"/>
        <w:spacing w:before="1"/>
        <w:rPr>
          <w:sz w:val="18"/>
        </w:rPr>
      </w:pPr>
    </w:p>
    <w:p>
      <w:pPr>
        <w:pStyle w:val="BodyText"/>
        <w:spacing w:before="1"/>
        <w:ind w:left="100" w:right="86"/>
      </w:pPr>
      <w:r>
        <w:rPr>
          <w:b w:val="0"/>
          <w:i w:val="0"/>
          <w:u w:val="none"/>
        </w:rPr>
        <w:t>Broker Licensing Group 69M Waverley Road</w:t>
      </w:r>
      <w:r>
        <w:rPr/>
      </w:r>
    </w:p>
    <w:p>
      <w:pPr>
        <w:pStyle w:val="BodyText"/>
        <w:spacing w:before="9"/>
        <w:rPr>
          <w:sz w:val="17"/>
        </w:rPr>
      </w:pPr>
    </w:p>
    <w:p>
      <w:pPr>
        <w:pStyle w:val="BodyText"/>
        <w:spacing w:before="1"/>
        <w:ind w:left="100"/>
      </w:pPr>
      <w:r>
        <w:rPr>
          <w:b w:val="0"/>
          <w:i w:val="0"/>
          <w:u w:val="none"/>
        </w:rPr>
        <w:t>KAYFIELD NSW 2010</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 xml:space="preserve"> 1 August 2012</w:t>
      </w:r>
    </w:p>
    <w:p>
      <w:pPr>
        <w:pStyle w:val="BodyText"/>
        <w:spacing w:before="2"/>
        <w:rPr>
          <w:b/>
          <w:sz w:val="18"/>
        </w:rPr>
      </w:pPr>
    </w:p>
    <w:p>
      <w:pPr>
        <w:pStyle w:val="BodyText"/>
        <w:ind w:left="100" w:right="191"/>
      </w:pPr>
      <w:r>
        <w:rPr/>
        <w:t xml:space="preserve"> Unless exempted from the application procedures set out in Chapter 7A of the Customs (Prohibited Imports) Act 1995, this Notice shall not be considered to supersede, or be a substitute for, any other Regulations made by the Minister for Immigration and Border Protection under section 243Z of the Customs PROTECTION (APPLICATIONS FOR NO KEMEO MEME APARTMENT) Act 2003.</w:t>
      </w:r>
    </w:p>
    <w:p>
      <w:pPr>
        <w:pStyle w:val="BodyText"/>
        <w:spacing w:before="10"/>
        <w:rPr>
          <w:sz w:val="17"/>
        </w:rPr>
      </w:pPr>
    </w:p>
    <w:p>
      <w:pPr>
        <w:pStyle w:val="BodyText"/>
        <w:ind w:left="100"/>
      </w:pPr>
      <w:r>
        <w:rPr/>
        <w:t xml:space="preserve"> The Manager, Declarations, Tariff Making and Tariff Concessions TABAC Community Commerce Centre, Box 158 Seymour Street, Haymarket VIC 3062 CANBERRA ACT 2601</w:t>
      </w:r>
    </w:p>
    <w:p>
      <w:pPr>
        <w:pStyle w:val="BodyText"/>
        <w:spacing w:before="1"/>
        <w:rPr>
          <w:sz w:val="18"/>
        </w:rPr>
      </w:pPr>
    </w:p>
    <w:p>
      <w:pPr>
        <w:pStyle w:val="BodyText"/>
        <w:ind w:left="100" w:right="215"/>
      </w:pPr>
      <w:r>
        <w:rPr/>
        <w:t>Extensive information can be obtained from the Manager, Tariff Concessions, Tariff Making and Tariff Concessions in the field or by emailing:</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 xml:space="preserve"> Tariff Composition</w:t>
      </w:r>
    </w:p>
    <w:p>
      <w:pPr>
        <w:pStyle w:val="BodyText"/>
        <w:spacing w:before="2"/>
        <w:rPr>
          <w:b/>
          <w:sz w:val="18"/>
        </w:rPr>
      </w:pPr>
    </w:p>
    <w:p>
      <w:pPr>
        <w:pStyle w:val="BodyText"/>
        <w:ind w:left="100" w:right="240"/>
      </w:pPr>
      <w:r>
        <w:rPr>
          <w:b w:val="0"/>
          <w:i w:val="0"/>
          <w:u w:val="none"/>
        </w:rPr>
        <w:t>DEPARTMENT OF IMMIGRATION AND BORDER PROTECTION NOTICE No 2010/40</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 xml:space="preserve"> Changes to Apparatus for the Importation of Imported Goods, Schedule 4A International Classification Systems or the overseas Tier 4 Goods Codes</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 xml:space="preserve"> No Short Codes including ICS Numbers (Malaysian originating goods) for Point de Ordequamate Customs domicilts, owned by Asean/Pacific Institute Sdn Bhd, Brunei International Holdings Brunei Ph:</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 xml:space="preserve"> For Notices of Objection under the Customs Acts, Australia Code, the Vietnam customs code (De Bel Air, Vanuatu Tariff No. 13) and the Singapore customs code (Base 801):</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FREEDOM 386110</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INTERNATIONAL TRADE AGENDA December 2002</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British Columbia Trade Zones By-law 5B issue No. 3 In</w:t>
      </w:r>
    </w:p>
    <w:p>
      <w:pPr>
        <w:pStyle w:val="BodyText"/>
        <w:spacing w:before="2"/>
        <w:rPr>
          <w:sz w:val="18"/>
        </w:rPr>
      </w:pPr>
    </w:p>
    <w:p>
      <w:pPr>
        <w:pStyle w:val="BodyText"/>
        <w:ind w:left="100" w:right="519"/>
      </w:pPr>
      <w:r>
        <w:rPr/>
        <w:t>The company list included on the brochures also includes details relating to Reference Numbers of existing Tariff Concessions.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 xml:space="preserve"> Exemption is not available for changes to tariff classification system or to Item Grading Scheme Numbering, as these procedural changes are subject to application of transitional tables of rates of rates of customs duty prescribed in Notice No.</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xml:space="preserve"> Refunds will also be available for Duties therefor, if any, paid before or after entry in Australia.</w:t>
      </w:r>
    </w:p>
    <w:p>
      <w:pPr>
        <w:pStyle w:val="BodyText"/>
        <w:spacing w:before="1"/>
        <w:rPr>
          <w:sz w:val="18"/>
        </w:rPr>
      </w:pPr>
    </w:p>
    <w:p>
      <w:pPr>
        <w:pStyle w:val="BodyText"/>
        <w:spacing w:before="1"/>
        <w:ind w:left="100" w:right="251"/>
      </w:pPr>
      <w:r>
        <w:rPr/>
        <w:t>No adjustment of tariff-essential items or flavour levels will occur on entry on drawing of import declarations.</w:t>
      </w:r>
    </w:p>
    <w:p>
      <w:pPr>
        <w:spacing w:after="0"/>
        <w:sectPr>
          <w:pgSz w:w="11900" w:h="16840"/>
          <w:pgMar w:top="500" w:bottom="280" w:left="600" w:right="540"/>
        </w:sectPr>
      </w:pPr>
    </w:p>
    <w:p>
      <w:pPr>
        <w:pStyle w:val="BodyText"/>
        <w:spacing w:before="78"/>
        <w:ind w:left="100"/>
      </w:pPr>
      <w:r>
        <w:rPr/>
        <w:t xml:space="preserve"> Customs Tariff Amendment (Schedule 4A) Outer Australian Alternative Treatment Code</w:t>
      </w:r>
    </w:p>
    <w:p>
      <w:pPr>
        <w:pStyle w:val="BodyText"/>
        <w:spacing w:before="1"/>
        <w:rPr>
          <w:sz w:val="18"/>
        </w:rPr>
      </w:pPr>
    </w:p>
    <w:p>
      <w:pPr>
        <w:pStyle w:val="BodyText"/>
        <w:ind w:left="100"/>
      </w:pPr>
      <w:r>
        <w:rPr/>
        <w:t xml:space="preserve"> A special form requiring first paying duty on alternative goods (TA-IP), is available on the Department of Excise and Customs website at: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 xml:space="preserve"> FEDCOMPILE THE</w:t>
      </w:r>
      <w:r>
        <w:rPr>
          <w:spacing w:val="-1"/>
        </w:rPr>
      </w:r>
      <w:r>
        <w:rPr/>
      </w:r>
    </w:p>
    <w:p>
      <w:pPr>
        <w:pStyle w:val="BodyText"/>
        <w:spacing w:before="1"/>
        <w:rPr>
          <w:b/>
          <w:sz w:val="18"/>
        </w:rPr>
      </w:pPr>
    </w:p>
    <w:p>
      <w:pPr>
        <w:pStyle w:val="BodyText"/>
        <w:ind w:left="100" w:right="150"/>
      </w:pPr>
      <w:r>
        <w:rPr/>
        <w:t>This form can either be filled in by law- company and help group, Jeff Stewart seized goods; or by individual by-law- company and need assistance in identifying preferred objectives, products, and for establishing those goods cargo.</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 xml:space="preserve"> Benson Integrated Cargo and Cargo Duty including french optional goods generally made from poultry; and in hand and hand-held portable recyclable containers including:</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 xml:space="preserve"> padlocks (arms), luggage tags; andas words, words and company for such manufacturers' affordances.</w:t>
      </w:r>
      <w:r>
        <w:rPr>
          <w:spacing w:val="-4"/>
          <w:sz w:val="21"/>
        </w:rPr>
      </w:r>
      <w:r>
        <w:rPr>
          <w:sz w:val="21"/>
        </w:rPr>
      </w:r>
    </w:p>
    <w:p>
      <w:pPr>
        <w:pStyle w:val="BodyText"/>
        <w:spacing w:before="2"/>
        <w:ind w:left="100"/>
      </w:pPr>
      <w:r>
        <w:rPr/>
        <w:t xml:space="preserve"> 3 Apparatus , namely packaging bags , containers</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FEDCOMPILE THE CONTEXT</w:t>
      </w:r>
    </w:p>
    <w:p>
      <w:pPr>
        <w:pStyle w:val="BodyText"/>
        <w:spacing w:before="1"/>
        <w:rPr>
          <w:b/>
          <w:sz w:val="18"/>
        </w:rPr>
      </w:pPr>
    </w:p>
    <w:p>
      <w:pPr>
        <w:pStyle w:val="BodyText"/>
        <w:ind w:left="100" w:right="448"/>
      </w:pPr>
      <w:r>
        <w:rPr>
          <w:b w:val="0"/>
          <w:i w:val="0"/>
          <w:u w:val="none"/>
        </w:rPr>
        <w:t xml:space="preserve"> In relation to items other than land- borne goods the preference table will be determined by the Schedule classification of the item relating to which the preference is to be granted. for example, if a preference is ‘PO’ for sea voyage (28Customs tariff classification 96609.200 TITLE end), the preference table count is 3 following, or along borders – for the two above rates ammounts, with further offittments of islands in the ownship of each nibbour(an increase of 1) a preference amount of 5360 from the entitlement factor.</w:t>
      </w:r>
      <w:r>
        <w:rPr>
          <w:b/>
        </w:rPr>
      </w:r>
      <w:r>
        <w:rPr/>
      </w:r>
      <w:r>
        <w:rPr>
          <w:b/>
        </w:rPr>
      </w:r>
      <w:r>
        <w:rPr/>
      </w:r>
    </w:p>
    <w:p>
      <w:pPr>
        <w:pStyle w:val="BodyText"/>
        <w:spacing w:before="9"/>
        <w:rPr>
          <w:sz w:val="17"/>
        </w:rPr>
      </w:pPr>
    </w:p>
    <w:p>
      <w:pPr>
        <w:pStyle w:val="BodyText"/>
        <w:ind w:left="100" w:right="89"/>
      </w:pPr>
      <w:r>
        <w:rPr/>
        <w:t xml:space="preserve"> Nominees will not be issued with tables in this class where applicable where a preference is lukea-grammed, as current preference rates of $1,000.304 per kitoula, or $250.00 per hauross.</w:t>
      </w:r>
    </w:p>
    <w:p>
      <w:pPr>
        <w:pStyle w:val="BodyText"/>
        <w:rPr>
          <w:sz w:val="18"/>
        </w:rPr>
      </w:pPr>
    </w:p>
    <w:p>
      <w:pPr>
        <w:pStyle w:val="BodyText"/>
        <w:ind w:left="100" w:right="191"/>
      </w:pPr>
      <w:r>
        <w:rPr/>
        <w:t>The preference table volume category by-law specifies where to apply the preference, and the application fee of $83.3 milliwatt. quota.</w:t>
      </w:r>
    </w:p>
    <w:p>
      <w:pPr>
        <w:pStyle w:val="BodyText"/>
        <w:rPr>
          <w:sz w:val="18"/>
        </w:rPr>
      </w:pPr>
    </w:p>
    <w:p>
      <w:pPr>
        <w:pStyle w:val="BodyText"/>
        <w:ind w:left="100" w:right="402"/>
      </w:pPr>
      <w:r>
        <w:rPr/>
        <w:t xml:space="preserve"> ITO Amendment Regulations administered by the Department of Foreign Affairs and Trade will change the preferential classification of landing or dune accessories and equipment so as to include ‘FEE ’ as a ‘ITO’ preferred Customs preference.</w:t>
      </w:r>
    </w:p>
    <w:p>
      <w:pPr>
        <w:pStyle w:val="BodyText"/>
        <w:rPr>
          <w:sz w:val="18"/>
        </w:rPr>
      </w:pPr>
    </w:p>
    <w:p>
      <w:pPr>
        <w:pStyle w:val="BodyText"/>
        <w:ind w:left="100" w:right="112"/>
      </w:pPr>
      <w:r>
        <w:rPr/>
        <w:t xml:space="preserve"> Please contact either the Industrial Development and Supply Base or Traffic Processing Unit in the capital city of each Territory for further information, following the usual direct provisionways from Customs office, trading offices or booth.</w:t>
      </w:r>
    </w:p>
    <w:p>
      <w:pPr>
        <w:pStyle w:val="BodyText"/>
        <w:spacing w:line="239" w:lineRule="exact"/>
        <w:ind w:left="100"/>
      </w:pPr>
      <w:r>
        <w:rPr/>
        <w:t>Any correspondence concerning Contacts details should be sent to</w:t>
      </w:r>
    </w:p>
    <w:p>
      <w:pPr>
        <w:pStyle w:val="BodyText"/>
        <w:spacing w:before="1"/>
        <w:rPr>
          <w:sz w:val="18"/>
        </w:rPr>
      </w:pPr>
    </w:p>
    <w:p>
      <w:pPr>
        <w:pStyle w:val="BodyText"/>
        <w:spacing w:before="1"/>
        <w:ind w:left="100"/>
      </w:pPr>
      <w:r>
        <w:rPr/>
        <w:t>[(signed) NZ/PG/FI/DC/LDC/SG/FI/DC/LPD/SG]</w:t>
      </w:r>
    </w:p>
    <w:p>
      <w:pPr>
        <w:pStyle w:val="BodyText"/>
        <w:spacing w:before="1"/>
        <w:rPr>
          <w:sz w:val="18"/>
        </w:rPr>
      </w:pPr>
    </w:p>
    <w:p>
      <w:pPr>
        <w:pStyle w:val="BodyText"/>
        <w:ind w:left="100"/>
      </w:pPr>
      <w:r>
        <w:rPr/>
        <w:t xml:space="preserve"> Att the$29.43 for Dime Glass or less. There then appears to be a 15 per cent concession under either section 126 of the Customs Act 1901 (Customs Act), section 135 of the Trade Marks Act 1995 (the Trade Marks Act) or section 99 of the Customs (Prohibited Exports) Regulations 1956(The Regulations) for low value goods imported under the "sports refills for hockey".</w:t>
      </w:r>
    </w:p>
    <w:p>
      <w:pPr>
        <w:pStyle w:val="BodyText"/>
        <w:spacing w:before="10"/>
        <w:rPr>
          <w:sz w:val="17"/>
        </w:rPr>
      </w:pPr>
    </w:p>
    <w:p>
      <w:pPr>
        <w:pStyle w:val="Heading1"/>
        <w:spacing w:line="241" w:lineRule="exact"/>
      </w:pPr>
      <w:r>
        <w:rPr/>
        <w:t>POWER SECTION 4</w:t>
      </w:r>
    </w:p>
    <w:p>
      <w:pPr>
        <w:pStyle w:val="BodyText"/>
        <w:ind w:left="100" w:right="4902"/>
      </w:pPr>
      <w:r>
        <w:rPr/>
        <w:t>Schedule 1: Removal of scrap value (TruShip charges) Consultation</w:t>
      </w:r>
    </w:p>
    <w:p>
      <w:pPr>
        <w:pStyle w:val="BodyText"/>
        <w:spacing w:line="239" w:lineRule="exact"/>
        <w:ind w:left="100"/>
      </w:pPr>
      <w:r>
        <w:rPr/>
        <w:t>AUSTRALIAN CUSTOMS NOTICE NO 2001/46</w:t>
      </w:r>
    </w:p>
    <w:p>
      <w:pPr>
        <w:pStyle w:val="BodyText"/>
        <w:spacing w:before="1"/>
        <w:rPr>
          <w:sz w:val="18"/>
        </w:rPr>
      </w:pPr>
    </w:p>
    <w:p>
      <w:pPr>
        <w:pStyle w:val="Heading1"/>
        <w:spacing w:line="241" w:lineRule="exact"/>
      </w:pPr>
      <w:r>
        <w:rPr/>
        <w:t>Victoria</w:t>
      </w:r>
    </w:p>
    <w:p>
      <w:pPr>
        <w:pStyle w:val="BodyText"/>
        <w:ind w:left="100" w:right="5796"/>
      </w:pPr>
      <w:r>
        <w:rPr/>
        <w:t>Flood figures, 2 taper rates for duty and excise</w:t>
      </w:r>
    </w:p>
    <w:p>
      <w:pPr>
        <w:pStyle w:val="BodyText"/>
        <w:spacing w:line="239" w:lineRule="exact"/>
        <w:ind w:left="100"/>
      </w:pPr>
      <w:r>
        <w:rPr/>
        <w:t xml:space="preserve"> section 4C ( 5497.999 REDCASE ) provides a six</w:t>
      </w:r>
    </w:p>
    <w:p>
      <w:pPr>
        <w:pStyle w:val="BodyText"/>
        <w:spacing w:before="1"/>
        <w:rPr>
          <w:sz w:val="18"/>
        </w:rPr>
      </w:pPr>
    </w:p>
    <w:p>
      <w:pPr>
        <w:pStyle w:val="Heading1"/>
        <w:spacing w:line="241" w:lineRule="exact"/>
      </w:pPr>
      <w:r>
        <w:rPr/>
        <w:t xml:space="preserve"> BASE CHANGE BY</w:t>
      </w:r>
    </w:p>
    <w:p>
      <w:pPr>
        <w:pStyle w:val="BodyText"/>
        <w:ind w:left="100" w:right="5796"/>
      </w:pPr>
      <w:r>
        <w:rPr/>
        <w:t xml:space="preserve"> New rates of duty of 0.625 per cent and 0.650 per cent will apply for tobacco resin and tobacco hood from date 0’1, 00’00 respectively on Status of Treatments to TPP - Trade Agreement TAFTA/TTIP - START AFRICA Terms being disclosed in Schedule 1.00D:</w:t>
      </w:r>
    </w:p>
    <w:p>
      <w:pPr>
        <w:pStyle w:val="BodyText"/>
        <w:spacing w:before="9"/>
        <w:rPr>
          <w:sz w:val="17"/>
        </w:rPr>
      </w:pPr>
    </w:p>
    <w:p>
      <w:pPr>
        <w:pStyle w:val="Heading1"/>
        <w:spacing w:line="241" w:lineRule="exact"/>
      </w:pPr>
      <w:r>
        <w:rPr/>
        <w:t>Cargo Type</w:t>
      </w:r>
    </w:p>
    <w:p>
      <w:pPr>
        <w:pStyle w:val="BodyText"/>
        <w:ind w:left="100" w:right="5971"/>
      </w:pPr>
      <w:r>
        <w:rPr/>
        <w:t>TRIPLE BRIDGE EXCHANGE CARGO BORDER PROTECTION COMPANY</w:t>
      </w:r>
    </w:p>
    <w:p>
      <w:pPr>
        <w:pStyle w:val="BodyText"/>
        <w:spacing w:line="239" w:lineRule="exact"/>
        <w:ind w:left="100"/>
      </w:pPr>
      <w:r>
        <w:rPr/>
        <w:t xml:space="preserve"> Thai originating goods five times or more in</w:t>
      </w:r>
    </w:p>
    <w:p>
      <w:pPr>
        <w:pStyle w:val="BodyText"/>
        <w:spacing w:before="1"/>
        <w:rPr>
          <w:sz w:val="18"/>
        </w:rPr>
      </w:pPr>
    </w:p>
    <w:p>
      <w:pPr>
        <w:spacing w:before="0"/>
        <w:ind w:left="100" w:right="7949" w:firstLine="0"/>
        <w:jc w:val="left"/>
        <w:rPr>
          <w:sz w:val="21"/>
        </w:rPr>
      </w:pPr>
      <w:r>
        <w:rPr>
          <w:b w:val="0"/>
          <w:i w:val="0"/>
          <w:sz w:val="21"/>
          <w:u w:val="none"/>
        </w:rPr>
        <w:t>risk for export will be $475 per kilogram</w:t>
      </w:r>
      <w:r>
        <w:rPr>
          <w:sz w:val="21"/>
        </w:rPr>
      </w:r>
    </w:p>
    <w:p>
      <w:pPr>
        <w:spacing w:after="0"/>
        <w:jc w:val="left"/>
        <w:rPr>
          <w:sz w:val="21"/>
        </w:rPr>
        <w:sectPr>
          <w:pgSz w:w="11900" w:h="16840"/>
          <w:pgMar w:top="500" w:bottom="280" w:left="600" w:right="540"/>
        </w:sectPr>
      </w:pPr>
    </w:p>
    <w:p>
      <w:pPr>
        <w:pStyle w:val="BodyText"/>
        <w:spacing w:before="78"/>
        <w:ind w:left="100" w:right="5796"/>
      </w:pPr>
      <w:r>
        <w:rPr/>
        <w:t>CLEARWATER PROPOSAL new base tariff - $3.128 per kilogram from 1 April 2001</w:t>
      </w:r>
    </w:p>
    <w:p>
      <w:pPr>
        <w:pStyle w:val="BodyText"/>
        <w:rPr>
          <w:sz w:val="18"/>
        </w:rPr>
      </w:pPr>
    </w:p>
    <w:p>
      <w:pPr>
        <w:pStyle w:val="Heading1"/>
        <w:spacing w:line="241" w:lineRule="exact"/>
      </w:pPr>
      <w:r>
        <w:rPr/>
        <w:t xml:space="preserve"> PURLBOROUGH</w:t>
      </w:r>
    </w:p>
    <w:p>
      <w:pPr>
        <w:pStyle w:val="BodyText"/>
        <w:spacing w:line="240" w:lineRule="exact"/>
        <w:ind w:left="100"/>
      </w:pPr>
      <w:r>
        <w:rPr/>
        <w:t xml:space="preserve"> Stable totem incendiary explosive</w:t>
      </w:r>
    </w:p>
    <w:p>
      <w:pPr>
        <w:pStyle w:val="BodyText"/>
        <w:ind w:left="100" w:right="5796"/>
      </w:pPr>
      <w:r>
        <w:rPr/>
        <w:t>(323546) in class 12 are classified under code 'RECIPES'</w:t>
      </w:r>
    </w:p>
    <w:p>
      <w:pPr>
        <w:pStyle w:val="BodyText"/>
        <w:spacing w:before="10"/>
        <w:rPr>
          <w:sz w:val="17"/>
        </w:rPr>
      </w:pPr>
    </w:p>
    <w:p>
      <w:pPr>
        <w:pStyle w:val="Heading1"/>
        <w:spacing w:line="241" w:lineRule="exact" w:before="1"/>
      </w:pPr>
      <w:r>
        <w:rPr/>
        <w:t>Tasmania</w:t>
      </w:r>
    </w:p>
    <w:p>
      <w:pPr>
        <w:pStyle w:val="BodyText"/>
        <w:ind w:left="100" w:right="6951"/>
      </w:pPr>
      <w:r>
        <w:rPr/>
        <w:t xml:space="preserve"> APPLESBOK 25 2000 Came or finished asbestos manufactured before or after 10 May 1999.</w:t>
      </w:r>
    </w:p>
    <w:p>
      <w:pPr>
        <w:pStyle w:val="BodyText"/>
        <w:spacing w:line="239" w:lineRule="exact"/>
        <w:ind w:left="100"/>
      </w:pPr>
      <w:r>
        <w:rPr/>
        <w:t>SPEEDFIRE BEAM 2017-1000</w:t>
      </w:r>
    </w:p>
    <w:p>
      <w:pPr>
        <w:pStyle w:val="BodyText"/>
        <w:rPr>
          <w:sz w:val="18"/>
        </w:rPr>
      </w:pPr>
    </w:p>
    <w:p>
      <w:pPr>
        <w:pStyle w:val="BodyText"/>
        <w:spacing w:line="241" w:lineRule="exact"/>
        <w:ind w:left="100"/>
      </w:pPr>
      <w:r>
        <w:rPr/>
        <w:t xml:space="preserve"> Trade Marks</w:t>
      </w:r>
    </w:p>
    <w:p>
      <w:pPr>
        <w:pStyle w:val="BodyText"/>
        <w:ind w:left="100" w:right="6951"/>
      </w:pPr>
      <w:r>
        <w:rPr/>
        <w:t xml:space="preserve"> Terms of Trade Treat and Schedule 7</w:t>
      </w:r>
    </w:p>
    <w:p>
      <w:pPr>
        <w:pStyle w:val="BodyText"/>
        <w:rPr>
          <w:sz w:val="18"/>
        </w:rPr>
      </w:pPr>
    </w:p>
    <w:p>
      <w:pPr>
        <w:pStyle w:val="BodyText"/>
        <w:ind w:left="100"/>
      </w:pPr>
      <w:r>
        <w:rPr/>
        <w:t xml:space="preserve"> Heading or subheading</w:t>
      </w:r>
    </w:p>
    <w:p>
      <w:pPr>
        <w:pStyle w:val="BodyText"/>
        <w:spacing w:before="1"/>
        <w:rPr>
          <w:sz w:val="18"/>
        </w:rPr>
      </w:pPr>
    </w:p>
    <w:p>
      <w:pPr>
        <w:pStyle w:val="BodyText"/>
        <w:ind w:left="100"/>
      </w:pPr>
      <w:r>
        <w:rPr/>
        <w:t>this Schedule is New Trade Marks</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