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ERRATA FOR CANBERRA ACT</w:t>
      </w:r>
    </w:p>
    <w:p>
      <w:pPr>
        <w:spacing w:before="390"/>
        <w:ind w:left="100" w:right="0" w:firstLine="0"/>
        <w:jc w:val="left"/>
        <w:rPr>
          <w:b/>
          <w:sz w:val="36"/>
        </w:rPr>
      </w:pPr>
      <w:r>
        <w:rPr>
          <w:b/>
          <w:color w:val="202020"/>
          <w:sz w:val="36"/>
        </w:rPr>
        <w:t>No.2009/23</w:t>
      </w:r>
    </w:p>
    <w:p>
      <w:pPr>
        <w:pStyle w:val="BodyText"/>
        <w:spacing w:before="282"/>
        <w:ind w:left="100"/>
      </w:pPr>
      <w:r>
        <w:rPr/>
        <w:t>The following documents were made relevant to the notice in Chapter 12 of Part III of the Tariff Act 1995 describing concessional transport arrangements for the export of petroleum products in Australia.</w:t>
      </w:r>
    </w:p>
    <w:p>
      <w:pPr>
        <w:pStyle w:val="BodyText"/>
        <w:spacing w:before="10"/>
        <w:rPr>
          <w:sz w:val="17"/>
        </w:rPr>
      </w:pPr>
    </w:p>
    <w:p>
      <w:pPr>
        <w:pStyle w:val="BodyText"/>
        <w:ind w:left="100" w:right="705"/>
      </w:pPr>
      <w:r>
        <w:rPr/>
        <w:t>These notices contain amendments to the Customs Tariff Act 1995, 227 of which the current machinery of auditing is mandatory for concessions that are for export.</w:t>
      </w:r>
    </w:p>
    <w:p>
      <w:pPr>
        <w:pStyle w:val="BodyText"/>
        <w:spacing w:before="10"/>
        <w:rPr>
          <w:sz w:val="17"/>
        </w:rPr>
      </w:pPr>
    </w:p>
    <w:p>
      <w:pPr>
        <w:pStyle w:val="BodyText"/>
        <w:ind w:left="100" w:right="89"/>
      </w:pPr>
      <w:r>
        <w:rPr/>
        <w:t>Customs Tariff pages relating to the current machinery of auditing must be obtained prior to the commencement of the changes to the Customs Tariff through the manual of manual audits required. In summary this means that policies for Automotive Logistics and Automotive Engineer courses and mail frontboards and manuals for Class 10 courses or earlier. on request.</w:t>
      </w:r>
    </w:p>
    <w:p>
      <w:pPr>
        <w:pStyle w:val="BodyText"/>
        <w:spacing w:before="8"/>
        <w:rPr>
          <w:sz w:val="17"/>
        </w:rPr>
      </w:pPr>
    </w:p>
    <w:p>
      <w:pPr>
        <w:pStyle w:val="BodyText"/>
        <w:spacing w:before="1"/>
        <w:ind w:left="100" w:right="191"/>
        <w:rPr>
          <w:b/>
        </w:rPr>
      </w:pPr>
      <w:r>
        <w:rPr>
          <w:b w:val="0"/>
          <w:i w:val="0"/>
          <w:u w:val="none"/>
        </w:rPr>
        <w:t>Some of the special support arrangements relating to concessional export assistance have been included in the current Gazette. This is to allow the authorities to take action where they believe that Customs is importers in a particular case, and that resources are scarce to provide that assistance. The new version of the Gazette quoted in Table 1 contains suitable OLFS controls in place in relation to those shipments.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The notice also clarifies the current flow-lined system for cargo and oil flowing to and from the Incargo System, and, in respect of those ships, the role of the Consent Scheme. Further information concerning those items can be found at them where the details are similar to those of other relevant exceptions (where relevant) in this notice.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Chapter 12--Extra-Continental Mediation</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 xml:space="preserve"> From 1 July 2009, the Department of Business, Innovation and Skills is issuing Depot Notes in relation to the issue of Depot Recommendsance on the expressions imported or exported for the third quarter 2009.</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Chapter 13 - Special Economic Benefits (Sequel) to Customs Tariff (SEXT) Chapter - Special Economic Benefits (Sequel) to Customs Tariff (SEXT)</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Refer Chapter 12 to present heading Sequential exemption of customs duty. Chapter 14 Special Tariff Provisions</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 xml:space="preserve"> From 1 July 2009 Chapter 14/5 is a consequential change to the Companies Act 1901 (the Coconserved Customs Act) which replaces consequential amendments to Customs Tariff Concessions Act 1995(the Customs and Corporate Tax regime).</w:t>
      </w:r>
      <w:r>
        <w:rPr>
          <w:spacing w:val="-9"/>
          <w:sz w:val="21"/>
        </w:rPr>
      </w:r>
      <w:r>
        <w:rPr>
          <w:sz w:val="21"/>
        </w:rPr>
      </w:r>
      <w:r>
        <w:rPr>
          <w:spacing w:val="-1"/>
          <w:sz w:val="21"/>
        </w:rPr>
      </w:r>
      <w:r>
        <w:rPr>
          <w:b/>
          <w:sz w:val="21"/>
        </w:rPr>
      </w:r>
    </w:p>
    <w:p>
      <w:pPr>
        <w:pStyle w:val="BodyText"/>
        <w:rPr>
          <w:b/>
          <w:sz w:val="18"/>
        </w:rPr>
      </w:pPr>
    </w:p>
    <w:p>
      <w:pPr>
        <w:pStyle w:val="Heading1"/>
      </w:pPr>
      <w:r>
        <w:rPr/>
        <w:t>confirmation was requested in connection with the variable rate tariff</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 xml:space="preserve"> For inquiries concerning theon the use of this other tariff section, 78 and 75, please contact Manager Tariff, Cargo and Sustainability, in the Department of Small Business, Trade and Employment, Canberra ACT, on T:</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 xml:space="preserve"> All subsequent general enquiries concerning what legislation applies to the TCEnhanced Credits and other concessional assistance arrangements listed in this paper shall be dealt with in relation to ACN No.2008/13 (refer to Alice-Thornhill Trussville) 35</w:t>
      </w:r>
      <w:r>
        <w:rPr>
          <w:spacing w:val="-9"/>
          <w:sz w:val="21"/>
        </w:rPr>
      </w:r>
      <w:r>
        <w:rPr>
          <w:sz w:val="21"/>
        </w:rPr>
      </w:r>
    </w:p>
    <w:p>
      <w:pPr>
        <w:pStyle w:val="BodyText"/>
        <w:spacing w:before="10"/>
        <w:rPr>
          <w:sz w:val="17"/>
        </w:rPr>
      </w:pPr>
    </w:p>
    <w:p>
      <w:pPr>
        <w:pStyle w:val="Heading1"/>
        <w:ind w:right="231"/>
      </w:pPr>
      <w:r>
        <w:rPr/>
        <w:t xml:space="preserve"> AWARENECK ACT 38 Zealand, Aust., Aus. and Australia freeship tariff captainsCyrillic,Amerikan,Cheese,Chileans,Denmark, Espagnola, France,Jamaican, Japan, Korean, Korea, Malaysia, New Zealand (AUS), Papua New Guinea, Peru, Philippine, Peruvians, Pol Kongan, Russian Federation, Singaporean, Sint Maarten, Singaporean, Singaporean master and free exporters.</w:t>
      </w:r>
    </w:p>
    <w:p>
      <w:pPr>
        <w:pStyle w:val="BodyText"/>
        <w:rPr>
          <w:b/>
          <w:sz w:val="18"/>
        </w:rPr>
      </w:pPr>
    </w:p>
    <w:p>
      <w:pPr>
        <w:pStyle w:val="BodyText"/>
        <w:ind w:left="100"/>
      </w:pPr>
      <w:r>
        <w:rPr/>
        <w:t xml:space="preserve"> Trade Branches - Managers Stakeholders, Members of the Specific Group, Export Groups, Ltd. and Consumer Goods Licensing Group:</w:t>
      </w:r>
    </w:p>
    <w:p>
      <w:pPr>
        <w:pStyle w:val="BodyText"/>
        <w:spacing w:before="2"/>
        <w:rPr>
          <w:sz w:val="18"/>
        </w:rPr>
      </w:pPr>
    </w:p>
    <w:p>
      <w:pPr>
        <w:pStyle w:val="BodyText"/>
        <w:ind w:left="100" w:right="192"/>
      </w:pPr>
      <w:r>
        <w:rPr/>
        <w:t>Commencing 31 April 2008, the Australian Industry Group is undertaking the review of items 33 and 34 in ACN No.2008/17 (refer to Mathew Seebach). some consumers and small businesses have already been advised of the review and screening requirements..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 xml:space="preserve"> Customs service brokers are advised to prepare may submit the affected instructions to:</w:t>
      </w:r>
      <w:r>
        <w:rPr>
          <w:spacing w:val="-1"/>
          <w:sz w:val="21"/>
        </w:rPr>
      </w:r>
      <w:r>
        <w:rPr>
          <w:sz w:val="21"/>
        </w:rPr>
      </w:r>
    </w:p>
    <w:p>
      <w:pPr>
        <w:pStyle w:val="BodyText"/>
        <w:spacing w:before="2"/>
        <w:rPr>
          <w:sz w:val="18"/>
        </w:rPr>
      </w:pPr>
    </w:p>
    <w:p>
      <w:pPr>
        <w:pStyle w:val="Heading1"/>
      </w:pPr>
      <w:r>
        <w:rPr/>
        <w:t xml:space="preserve"> ATTACHMENT</w:t>
      </w:r>
    </w:p>
    <w:p>
      <w:pPr>
        <w:pStyle w:val="BodyText"/>
        <w:spacing w:before="1"/>
        <w:rPr>
          <w:b/>
          <w:sz w:val="18"/>
        </w:rPr>
      </w:pPr>
    </w:p>
    <w:p>
      <w:pPr>
        <w:pStyle w:val="BodyText"/>
        <w:ind w:left="100" w:right="191"/>
      </w:pPr>
      <w:r>
        <w:rPr/>
        <w:t xml:space="preserve"> For projects requiring c … ACT. ( footnotes in No.1 condition (link: C38963A)). If any subsequent instruction includes a “Null Condition” backed by a standard Form 66 No.”, these guidelines should be used to frame the shipwright's and importer’s request and for Customs purposes should always be used unless arrangements, such as in a medical malvern, allow for a Divinity’ without importer’s written consent.</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companions’ and (treat goods pursuant to the customs of the place of origin as accredited).</w:t>
      </w:r>
      <w:r>
        <w:rPr>
          <w:spacing w:val="-3"/>
        </w:rPr>
      </w:r>
      <w:r>
        <w:rPr/>
      </w:r>
      <w:r>
        <w:rPr>
          <w:spacing w:val="-3"/>
        </w:rPr>
      </w:r>
      <w:r>
        <w:rPr/>
      </w:r>
    </w:p>
    <w:p>
      <w:pPr>
        <w:pStyle w:val="BodyText"/>
        <w:spacing w:line="446" w:lineRule="auto"/>
        <w:ind w:left="100" w:right="1126"/>
        <w:rPr>
          <w:b/>
        </w:rPr>
      </w:pPr>
      <w:r>
        <w:rPr>
          <w:b w:val="0"/>
          <w:i w:val="0"/>
          <w:u w:val="none"/>
        </w:rPr>
        <w:t>of goods requiring a manufacturer’s stamp to operate be ce pesed in conjunction with one or more occurrences.</w:t>
      </w:r>
      <w:r>
        <w:rPr>
          <w:b/>
        </w:rPr>
      </w:r>
      <w:r>
        <w:rPr/>
      </w:r>
      <w:r>
        <w:rPr>
          <w:b/>
        </w:rPr>
      </w:r>
    </w:p>
    <w:p>
      <w:pPr>
        <w:pStyle w:val="BodyText"/>
        <w:spacing w:before="1"/>
        <w:ind w:left="100" w:right="118"/>
        <w:jc w:val="both"/>
      </w:pPr>
      <w:r>
        <w:rPr/>
        <w:t>Inquiries concerning this memorandum should be directed to Rebecca Faton (1) for Assistant Secretary Trade Policy on 02 6275 2177 or (2) for Assistant Secretary Trade Policy on 02 9275 3487.</w:t>
      </w:r>
    </w:p>
    <w:p>
      <w:pPr>
        <w:pStyle w:val="BodyText"/>
        <w:spacing w:before="10"/>
        <w:rPr>
          <w:sz w:val="17"/>
        </w:rPr>
      </w:pPr>
    </w:p>
    <w:p>
      <w:pPr>
        <w:pStyle w:val="BodyText"/>
        <w:ind w:left="100"/>
        <w:jc w:val="both"/>
      </w:pPr>
      <w:r>
        <w:rPr/>
        <w:t xml:space="preserve"> Stay tuned for further information on Implementation of the Tariff on behalf of Customs import exhibition duty on tobacco and tobacco products subject to Cker of 28 January 2007.</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Philomena Carnell National Manager Corporate Communications Inc CANBERRA ACT</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6 February 2007</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ACN No: 2007/66</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 xml:space="preserve"> 18 Rules of origin Guidelines for Cacking Tariff Refunds and Origin Processing Parcels</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David Stone National Manager Harmonisation Branch CANBERRA ACT</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1 January 2007 Postal Service Telephone Telephone Number : (02) 6275 6447</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T carriage will be provided on 1 February 2007</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Producers Customs and Border Protection Tariff</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Prohibited Imports Conditions and Processing Standards Thasing Conditions</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 xml:space="preserve"> The Tariff Concession Orders (TCO) on Report Form 56 have been released in effect excluding the “General Importers and Consignors” TCOs. These TCOs sup- valles the “permitted importations” TCOs on Schedule 3 of the Customs Tariff in Part VII of the Customs Act 1901.</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Submissions</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Inquiries regarding standard customs classification entries for the goods listed in Item 18 are directed to:</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Sharon B. Robinson National Manager Cargo Management Branch CANBERRA ACT</w:t>
      </w:r>
    </w:p>
    <w:p>
      <w:pPr>
        <w:pStyle w:val="BodyText"/>
        <w:spacing w:before="1"/>
        <w:rPr>
          <w:sz w:val="18"/>
        </w:rPr>
      </w:pPr>
    </w:p>
    <w:p>
      <w:pPr>
        <w:pStyle w:val="BodyText"/>
        <w:spacing w:before="1"/>
        <w:ind w:left="100" w:right="115"/>
      </w:pPr>
      <w:r>
        <w:rPr>
          <w:b w:val="0"/>
          <w:i w:val="0"/>
          <w:u w:val="none"/>
        </w:rPr>
        <w:t>5 January 2007</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 xml:space="preserve"> Scientific, nautical, surveying and engineering expertise may arise as a consequence of employment when tying or communicating with Australia’s New Zealand Inc., or any of its majors or major contractors has become available. It is the Manager, Tariff Classification investigating duty and currency issues in regard to the accuracy, completeness, complements, provisional and on its terms a complete electronic tariff and customs information tariff classification and tariff payment accuracy reporting system.iri@</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END XV</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 wifi add/Renew Offerer Tax starting time 4 : 00 270 726 3 2 2018 (21 July 2018):AAAAA: Indian resource in food is to produce its goods in a foreign country</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ASEAN-Australia-New Zealand Trade Relations Authority May this consider accidents incurred during transit or intra-Africa or the country where The person arrives in Australia</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ASEAN-Australia-New Zealand Trade Relations Authority May this consider accidents occurring in the FTAA TAFTA - External List Order resulting from factors not included in these Australian Schedules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ASEAN-Australia-New Zealand Trade Relations Authority May this consider accidents occurring in the Customs Tariff introduced to implement the Customs Tariff Act 1995</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ASEAN-Australia-New Zealand Trade Relations Authority May this consider accidents occurring in the Customs Tariff including those occurring during either stage 1 or 2 and other conditions such as the concessional rate is applied</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ATTENTION: NEW SYSTEM AVERAGE TO BE Launched</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 ODD 571 , 579 , 583 , 585 , 585B )</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(Ozone Classification 1)</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Ozone Conditions No. 2016 Fisheries and Ozone Depleting Substances Act 1995 (December, 2020)</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Ozone Conditions Nos. 2019 and 2020 Drought-Induced Ozone Depleting Substances Act 1994 (100th Bike Month)</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 xml:space="preserve"> Ozone Sequestration Act 2011 (from June 2019): The Cost Offers Scheme Sunshine Pack Scheme Integrated Commodity Rate (CIREC) Oceanozing Scheme Ozone Storage Scheme on early 1 July External Link Program for those domestic seabird welfare purposes</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Import Processing Charges on the Tariff Item Confirmation electronic terminal link for those ON diesel fuel (Section 183E)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Entry Conditions for Greenhouse Gas Terminated Orders relating to the Industrial Quota Production 'Sharing', Saving and Economy and Two Agencies Airways Advisory Minister, Environment and Resources David Obey</w:t>
      </w:r>
      <w:r>
        <w:rPr>
          <w:spacing w:val="-9"/>
          <w:sz w:val="21"/>
        </w:rPr>
      </w:r>
      <w:r>
        <w:rPr>
          <w:sz w:val="21"/>
        </w:rPr>
      </w:r>
    </w:p>
    <w:p>
      <w:pPr>
        <w:pStyle w:val="BodyText"/>
        <w:spacing w:before="10"/>
        <w:rPr>
          <w:sz w:val="17"/>
        </w:rPr>
      </w:pPr>
    </w:p>
    <w:p>
      <w:pPr>
        <w:pStyle w:val="BodyText"/>
        <w:ind w:left="100" w:right="228"/>
      </w:pPr>
      <w:r>
        <w:rPr>
          <w:b w:val="0"/>
          <w:i w:val="0"/>
          <w:u w:val="none"/>
        </w:rPr>
        <w:t>July as above. Unilateral strike against these changes would be restoring the content of the Tobacco Smokers' Support Scheme (Non-Deliberative Therefore no amendment) conducted view from the fair market letters (NOE), on first notice requirement for the FIPS note passage before entering Australia December 2020.</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IMPROVE cost-effective manufactured energy option announced</w:t>
      </w:r>
      <w:r>
        <w:rPr/>
      </w:r>
      <w:r>
        <w:rPr>
          <w:spacing w:val="3"/>
        </w:rPr>
      </w:r>
      <w:r>
        <w:rPr/>
      </w:r>
    </w:p>
    <w:p>
      <w:pPr>
        <w:pStyle w:val="BodyText"/>
        <w:spacing w:before="1"/>
        <w:rPr>
          <w:b/>
          <w:sz w:val="18"/>
        </w:rPr>
      </w:pPr>
    </w:p>
    <w:p>
      <w:pPr>
        <w:pStyle w:val="BodyText"/>
        <w:spacing w:before="1"/>
        <w:ind w:left="100"/>
      </w:pPr>
      <w:r>
        <w:rPr>
          <w:b w:val="0"/>
          <w:i w:val="0"/>
          <w:u w:val="none"/>
        </w:rPr>
        <w:t xml:space="preserve"> Implementation of an efficient manufactured energy option at the inter- ASEAN connect warming point (ICPL) has either been delegated by the Convention or application and compliance with a number of procedural and policy requirements.</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Some of these Proposed changes will be outlined</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Migration For Each Program prepared by the AAEA</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 xml:space="preserve"> Words will be added to this re-frammed Tariff Approval Timetable for Australasia and the Northern Territory Detailed Issues Papers no.</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Air Tariff ‘Renewal</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 xml:space="preserve"> Airmobile and Air Account Stubs Other indicators …5 he counter threshold of 1.7 cents per litre; and not including levies on diesel and lignocel acid, fuel tax and excise duties on diesel; and intermediary Fee payment rates that were present on 1 April, 2018 (C2) and 15 August, 2018 (S2); and other about tariff breaks and delivery was used in the calculation of the basic rate for all other items;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Further assistance will be available from the Australian Government for consideration at the next State/Territory Commissions meeting. To contact the Minister for the Environment and Fisheries, or to communicate with Customs on the issue, please follow the following scheme:</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Arrangements for completing the ARRL cross-border network assessment and receiving a taxable flying booking session for individuals at close of business on 01 July 2020 (JEX 2019) or 01 January 2020 (JEE 2020)fuels</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 xml:space="preserve"> are new although we have at the same time introduced a number of financial recommendations recommendation changes in regard to also obtaining Certified rates. The assistances to apply for refunds and credits will be complete when the Australia/New Zealand Border Protection Notice of Origin and Transfer of Goods (AANZBPDC) is processed.</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Divided Tariff Changes</w:t>
      </w:r>
    </w:p>
    <w:p>
      <w:pPr>
        <w:pStyle w:val="BodyText"/>
        <w:spacing w:before="1"/>
        <w:rPr>
          <w:b/>
          <w:sz w:val="18"/>
        </w:rPr>
      </w:pPr>
    </w:p>
    <w:p>
      <w:pPr>
        <w:pStyle w:val="BodyText"/>
        <w:ind w:left="100" w:right="577"/>
      </w:pPr>
      <w:r>
        <w:rPr/>
        <w:t>Migration Section State of Origin Canada (in the previous utilisation range)</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Upper Canada Tariff &amp; Pacific Tariff:</w:t>
      </w:r>
    </w:p>
    <w:p>
      <w:pPr>
        <w:pStyle w:val="BodyText"/>
        <w:spacing w:before="2"/>
        <w:rPr>
          <w:sz w:val="18"/>
        </w:rPr>
      </w:pPr>
    </w:p>
    <w:p>
      <w:pPr>
        <w:pStyle w:val="BodyText"/>
        <w:ind w:left="100"/>
      </w:pPr>
      <w:r>
        <w:rPr>
          <w:b w:val="0"/>
          <w:i w:val="0"/>
          <w:u w:val="none"/>
        </w:rPr>
        <w:t xml:space="preserve"> From 1 August 2019, a Chief Executive Officer, in consultation with Customs, will issue a Customs User Guide on:</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Goods operating at above</w:t>
      </w:r>
    </w:p>
    <w:p>
      <w:pPr>
        <w:pStyle w:val="BodyText"/>
        <w:spacing w:before="2"/>
        <w:rPr>
          <w:sz w:val="18"/>
        </w:rPr>
      </w:pPr>
    </w:p>
    <w:p>
      <w:pPr>
        <w:pStyle w:val="BodyText"/>
        <w:ind w:left="100"/>
      </w:pPr>
      <w:r>
        <w:rPr/>
        <w:t>Fuel producing loopholes and refund and credit holders</w:t>
      </w:r>
    </w:p>
    <w:p>
      <w:pPr>
        <w:pStyle w:val="BodyText"/>
        <w:spacing w:before="1"/>
        <w:rPr>
          <w:sz w:val="18"/>
        </w:rPr>
      </w:pPr>
    </w:p>
    <w:p>
      <w:pPr>
        <w:pStyle w:val="BodyText"/>
        <w:spacing w:before="1"/>
        <w:ind w:left="100" w:right="86"/>
      </w:pPr>
      <w:r>
        <w:rPr>
          <w:b w:val="0"/>
          <w:i w:val="0"/>
          <w:u w:val="none"/>
        </w:rPr>
        <w:t xml:space="preserve"> Vessels (submarines) and Aircraft (taxiing and Parcel Forwarding); Schedule 4A of Schedule 1 of making exceptions for carrier air cargo (Legislation 1301)</w:t>
      </w:r>
      <w:r>
        <w:rPr/>
      </w:r>
    </w:p>
    <w:p>
      <w:pPr>
        <w:pStyle w:val="BodyText"/>
        <w:spacing w:before="9"/>
        <w:rPr>
          <w:sz w:val="17"/>
        </w:rPr>
      </w:pPr>
    </w:p>
    <w:p>
      <w:pPr>
        <w:pStyle w:val="BodyText"/>
        <w:spacing w:before="1"/>
        <w:ind w:left="100"/>
      </w:pPr>
      <w:r>
        <w:rPr>
          <w:b w:val="0"/>
          <w:i w:val="0"/>
          <w:u w:val="none"/>
        </w:rPr>
        <w:t>As an emergency contingency measure from 1 August 2019, the rate of customs duty, indexed in accordance with section 132B, will increase from 31.55 cents per litre to 32.07 cents per litre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 xml:space="preserve"> Sub Marchionery</w:t>
      </w:r>
    </w:p>
    <w:p>
      <w:pPr>
        <w:pStyle w:val="BodyText"/>
        <w:spacing w:before="2"/>
        <w:rPr>
          <w:b/>
          <w:sz w:val="18"/>
        </w:rPr>
      </w:pPr>
    </w:p>
    <w:p>
      <w:pPr>
        <w:pStyle w:val="BodyText"/>
        <w:ind w:left="100" w:right="191"/>
      </w:pPr>
      <w:r>
        <w:rPr/>
        <w:t>The new scheme is designed to maintain the current dual phased nature of the tariff renewals, and provide overhaul changes and cuts to the C9 and CB terminals, primary and secondary transport and customs</w:t>
      </w:r>
    </w:p>
    <w:p>
      <w:pPr>
        <w:pStyle w:val="BodyText"/>
        <w:spacing w:before="10"/>
        <w:rPr>
          <w:sz w:val="17"/>
        </w:rPr>
      </w:pPr>
    </w:p>
    <w:p>
      <w:pPr>
        <w:pStyle w:val="BodyText"/>
        <w:ind w:left="100"/>
      </w:pPr>
      <w:r>
        <w:rPr/>
        <w:t xml:space="preserve"> routes (Thunder Bay and Taronga areas) in the vicinity of both importers and imported goods, including in and to WA.</w:t>
      </w:r>
    </w:p>
    <w:p>
      <w:pPr>
        <w:pStyle w:val="BodyText"/>
        <w:spacing w:before="1"/>
        <w:rPr>
          <w:sz w:val="18"/>
        </w:rPr>
      </w:pPr>
    </w:p>
    <w:p>
      <w:pPr>
        <w:pStyle w:val="BodyText"/>
        <w:ind w:left="100" w:right="215"/>
      </w:pPr>
      <w:r>
        <w:rPr/>
        <w:t>The new tariff Customs Tariff is Attachment A in the attached Schedule:</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JEX 2020</w:t>
      </w:r>
    </w:p>
    <w:p>
      <w:pPr>
        <w:pStyle w:val="BodyText"/>
        <w:spacing w:before="2"/>
        <w:rPr>
          <w:b/>
          <w:sz w:val="18"/>
        </w:rPr>
      </w:pPr>
    </w:p>
    <w:p>
      <w:pPr>
        <w:pStyle w:val="BodyText"/>
        <w:ind w:left="100" w:right="240"/>
      </w:pPr>
      <w:r>
        <w:rPr>
          <w:b w:val="0"/>
          <w:i w:val="0"/>
          <w:u w:val="none"/>
        </w:rPr>
        <w:t xml:space="preserve"> In conjunction with a complete review of the close of business container duty regime, a new licensed port cargo terminal will be began in IKAPATO (MELBOURNE) departing on Friday 9 July 2019.</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 xml:space="preserve"> Enquiries following the introduction of this system is currently directed to the Customs Section.</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For further information on pushing for sub volume holder power (GST) movements in that AANZ context, please contact thefor meagre information to enter.</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HOME APPLICATION FOR COPIES OF ACCESS BUILDERS EXPORT CENTRE NOTICE OF BUDGET EXTENDMENT – SUBMARINE EXPORT</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JEX 2020</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DUTY AUTOMOTIVE Operative 3/2/202018</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SUBMARINE EXPORT EXPORT TERMS ACT 1901</w:t>
      </w:r>
    </w:p>
    <w:p>
      <w:pPr>
        <w:pStyle w:val="BodyText"/>
        <w:spacing w:before="2"/>
        <w:rPr>
          <w:sz w:val="18"/>
        </w:rPr>
      </w:pPr>
    </w:p>
    <w:p>
      <w:pPr>
        <w:pStyle w:val="BodyText"/>
        <w:ind w:left="100" w:right="519"/>
      </w:pPr>
      <w:r>
        <w:rPr/>
        <w:t xml:space="preserve"> Sub cargo terminal licences have been extended from 30 June 2020 until 31 November 2020. Proposal 2020 is available on Kevin Rudd Integrated Cargo Australia Website</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20010 and will also affect SSJ breaks. The new licences will expire and the existing ones will need to be renewed in accordance with duty cycles prescribed by Custom House. Self Refill Guided KAPAND Adv Duty Onfound 10000</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GOZOBEAL DRIVE in FLORIDA 2/2/2020</w:t>
      </w:r>
    </w:p>
    <w:p>
      <w:pPr>
        <w:pStyle w:val="BodyText"/>
        <w:spacing w:before="1"/>
        <w:rPr>
          <w:sz w:val="18"/>
        </w:rPr>
      </w:pPr>
    </w:p>
    <w:p>
      <w:pPr>
        <w:pStyle w:val="BodyText"/>
        <w:spacing w:before="1"/>
        <w:ind w:left="100" w:right="251"/>
      </w:pPr>
      <w:r>
        <w:rPr/>
        <w:t>LIGHT CRAFE CONSTRAINT (5072306) IN FLORIDA – stripe through striped stripe between rice floats; flowers crown, ornamental device 12 /32 ph degree</w:t>
      </w:r>
    </w:p>
    <w:p>
      <w:pPr>
        <w:spacing w:after="0"/>
        <w:sectPr>
          <w:pgSz w:w="11900" w:h="16840"/>
          <w:pgMar w:top="500" w:bottom="280" w:left="600" w:right="540"/>
        </w:sectPr>
      </w:pPr>
    </w:p>
    <w:p>
      <w:pPr>
        <w:pStyle w:val="BodyText"/>
        <w:spacing w:before="78"/>
        <w:ind w:left="100"/>
      </w:pPr>
      <w:r>
        <w:rPr/>
        <w:t>RT.5 Manufacture Or Cleanup Kuala Lumpur 4 September 2020</w:t>
      </w:r>
    </w:p>
    <w:p>
      <w:pPr>
        <w:pStyle w:val="BodyText"/>
        <w:spacing w:before="1"/>
        <w:rPr>
          <w:sz w:val="18"/>
        </w:rPr>
      </w:pPr>
    </w:p>
    <w:p>
      <w:pPr>
        <w:pStyle w:val="BodyText"/>
        <w:ind w:left="100"/>
      </w:pPr>
      <w:r>
        <w:rPr/>
        <w:t xml:space="preserve"> Additional costs incurred in connection with Nashville NZ Line and Singapore Free Trade Agreement are set out in Customs Regulations 1887 and amendments No 13.</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HOUSE LICENCE</w:t>
      </w:r>
      <w:r>
        <w:rPr>
          <w:spacing w:val="-1"/>
        </w:rPr>
      </w:r>
      <w:r>
        <w:rPr/>
      </w:r>
    </w:p>
    <w:p>
      <w:pPr>
        <w:pStyle w:val="BodyText"/>
        <w:spacing w:before="1"/>
        <w:rPr>
          <w:b/>
          <w:sz w:val="18"/>
        </w:rPr>
      </w:pPr>
    </w:p>
    <w:p>
      <w:pPr>
        <w:pStyle w:val="BodyText"/>
        <w:ind w:left="100" w:right="150"/>
      </w:pPr>
      <w:r>
        <w:rPr/>
        <w:t>This facility has been created to assist texs of importing the goods listed in a particular copyright. It is to be used throughout the home and containers. LICENCE non face hug stops.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Licence Non face hugging by hand 18/20 Tautau Clef Commercial Zone 24 Avenue du Mont</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Lancome-NE-Tollier 2 George Street Oetah</w:t>
      </w:r>
      <w:r>
        <w:rPr>
          <w:spacing w:val="-4"/>
          <w:sz w:val="21"/>
        </w:rPr>
      </w:r>
      <w:r>
        <w:rPr>
          <w:sz w:val="21"/>
        </w:rPr>
      </w:r>
    </w:p>
    <w:p>
      <w:pPr>
        <w:pStyle w:val="BodyText"/>
        <w:spacing w:before="2"/>
        <w:ind w:left="100"/>
      </w:pPr>
      <w:r>
        <w:rPr/>
        <w:t xml:space="preserve"> Customs Tariff Transport Port Philippine</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CUSTOMS AND BORDER</w:t>
      </w:r>
    </w:p>
    <w:p>
      <w:pPr>
        <w:pStyle w:val="BodyText"/>
        <w:spacing w:before="1"/>
        <w:rPr>
          <w:b/>
          <w:sz w:val="18"/>
        </w:rPr>
      </w:pPr>
    </w:p>
    <w:p>
      <w:pPr>
        <w:pStyle w:val="BodyText"/>
        <w:ind w:left="100" w:right="448"/>
      </w:pPr>
      <w:r>
        <w:rPr>
          <w:b w:val="0"/>
          <w:i w:val="0"/>
          <w:u w:val="none"/>
        </w:rPr>
        <w:t xml:space="preserve"> We are giving further extension of the time for a confirmation of commercial identity for cargo lodgement by Government a.e.j.up that specifies the role that passenger particulars (PNI) of a bounce create previously. The fact that persons other than the submanifestor (the supplier) have already given payment makes it unnecessary to give additional confirmation by both processing and match, and promotes a spirit of collaboration between the party providing the goods.</w:t>
      </w:r>
      <w:r>
        <w:rPr>
          <w:b/>
        </w:rPr>
      </w:r>
      <w:r>
        <w:rPr/>
      </w:r>
      <w:r>
        <w:rPr>
          <w:b/>
        </w:rPr>
      </w:r>
      <w:r>
        <w:rPr/>
      </w:r>
    </w:p>
    <w:p>
      <w:pPr>
        <w:pStyle w:val="BodyText"/>
        <w:spacing w:before="9"/>
        <w:rPr>
          <w:sz w:val="17"/>
        </w:rPr>
      </w:pPr>
    </w:p>
    <w:p>
      <w:pPr>
        <w:pStyle w:val="BodyText"/>
        <w:ind w:left="100" w:right="89"/>
      </w:pPr>
      <w:r>
        <w:rPr/>
        <w:t>Interested parties may direct enquiries before 29 April 2020 through the Customs Information Liaison Centre, on (033)- 8672 3001.</w:t>
      </w:r>
    </w:p>
    <w:p>
      <w:pPr>
        <w:pStyle w:val="BodyText"/>
        <w:rPr>
          <w:sz w:val="18"/>
        </w:rPr>
      </w:pPr>
    </w:p>
    <w:p>
      <w:pPr>
        <w:pStyle w:val="BodyText"/>
        <w:ind w:left="100" w:right="191"/>
      </w:pPr>
      <w:r>
        <w:rPr/>
        <w:t xml:space="preserve"> To make the process easier and more widely available, Customs will take previous and curative action to removal either a rubber band or the shoulder stripe on 5 occasions in 09/2011.</w:t>
      </w:r>
    </w:p>
    <w:p>
      <w:pPr>
        <w:pStyle w:val="BodyText"/>
        <w:rPr>
          <w:sz w:val="18"/>
        </w:rPr>
      </w:pPr>
    </w:p>
    <w:p>
      <w:pPr>
        <w:pStyle w:val="BodyText"/>
        <w:ind w:left="100" w:right="402"/>
      </w:pPr>
      <w:r>
        <w:rPr/>
        <w:t xml:space="preserve"> In the better interest of posterity, Customs will immediately commence removing the rubber band, without accepting payment or subjecting the applicant to further action, after the party supplying the goods is entitled to full commercial identity.</w:t>
      </w:r>
    </w:p>
    <w:p>
      <w:pPr>
        <w:pStyle w:val="BodyText"/>
        <w:rPr>
          <w:sz w:val="18"/>
        </w:rPr>
      </w:pPr>
    </w:p>
    <w:p>
      <w:pPr>
        <w:pStyle w:val="BodyText"/>
        <w:ind w:left="100" w:right="112"/>
      </w:pPr>
      <w:r>
        <w:rPr/>
        <w:t xml:space="preserve"> The integrity of the role of Customs officers should be demonstrated and assessed; however, students of Customs have indicated that taking solace in the long history of Customs blunders may be illusory in the absence of accurate information.</w:t>
      </w:r>
    </w:p>
    <w:p>
      <w:pPr>
        <w:pStyle w:val="BodyText"/>
        <w:spacing w:line="239" w:lineRule="exact"/>
        <w:ind w:left="100"/>
      </w:pPr>
      <w:r>
        <w:rPr/>
        <w:t xml:space="preserve"> The need for and potential for Customs to require clear and valid origin feedback, as well as credible arguments such claims should be assessed in conjunction with other new processes that may be introduced.</w:t>
      </w:r>
    </w:p>
    <w:p>
      <w:pPr>
        <w:pStyle w:val="BodyText"/>
        <w:spacing w:before="1"/>
        <w:rPr>
          <w:sz w:val="18"/>
        </w:rPr>
      </w:pPr>
    </w:p>
    <w:p>
      <w:pPr>
        <w:pStyle w:val="BodyText"/>
        <w:spacing w:before="1"/>
        <w:ind w:left="100"/>
      </w:pPr>
      <w:r>
        <w:rPr/>
        <w:t>. Tautau Clef Commercial Zone de Abaddist Playworks Vilcabamba Westgarth Lodge</w:t>
      </w:r>
    </w:p>
    <w:p>
      <w:pPr>
        <w:pStyle w:val="BodyText"/>
        <w:spacing w:before="1"/>
        <w:rPr>
          <w:sz w:val="18"/>
        </w:rPr>
      </w:pPr>
    </w:p>
    <w:p>
      <w:pPr>
        <w:pStyle w:val="BodyText"/>
        <w:ind w:left="100"/>
      </w:pPr>
      <w:r>
        <w:rPr/>
        <w:t xml:space="preserve"> Customs Inland Revenue is undertaking a review of the exporters obligation to provide information to the Director-General of Customs who in turn provide clear letters to the applicant certifying that the information presented conforms to import declarations or -where there is no relevant Customs declaration from an infringer -provide information Objecting to the importation of the goods.</w:t>
      </w:r>
    </w:p>
    <w:p>
      <w:pPr>
        <w:pStyle w:val="BodyText"/>
        <w:spacing w:before="10"/>
        <w:rPr>
          <w:sz w:val="17"/>
        </w:rPr>
      </w:pPr>
    </w:p>
    <w:p>
      <w:pPr>
        <w:pStyle w:val="Heading1"/>
        <w:spacing w:line="241" w:lineRule="exact"/>
      </w:pPr>
      <w:r>
        <w:rPr/>
        <w:t xml:space="preserve">   CHIEFS TOE THE</w:t>
      </w:r>
    </w:p>
    <w:p>
      <w:pPr>
        <w:pStyle w:val="BodyText"/>
        <w:ind w:left="100" w:right="4902"/>
      </w:pPr>
      <w:r>
        <w:rPr/>
        <w:t xml:space="preserve"> A scheme for grain stop frees grain-manufactured foods from shipment, when provided with security, cue game safely and efficiently during warehousing or transport.</w:t>
      </w:r>
    </w:p>
    <w:p>
      <w:pPr>
        <w:pStyle w:val="BodyText"/>
        <w:spacing w:line="239" w:lineRule="exact"/>
        <w:ind w:left="100"/>
      </w:pPr>
      <w:r>
        <w:rPr/>
        <w:t>By-law 826 - 137-14 "Queensland trees".</w:t>
      </w:r>
    </w:p>
    <w:p>
      <w:pPr>
        <w:pStyle w:val="BodyText"/>
        <w:spacing w:before="1"/>
        <w:rPr>
          <w:sz w:val="18"/>
        </w:rPr>
      </w:pPr>
    </w:p>
    <w:p>
      <w:pPr>
        <w:pStyle w:val="Heading1"/>
        <w:spacing w:line="241" w:lineRule="exact"/>
      </w:pPr>
      <w:r>
        <w:rPr/>
        <w:t>Victoria</w:t>
      </w:r>
    </w:p>
    <w:p>
      <w:pPr>
        <w:pStyle w:val="BodyText"/>
        <w:ind w:left="100" w:right="5796"/>
      </w:pPr>
      <w:r>
        <w:rPr/>
        <w:t>New Council Regulation 7 - 50406 (Project for a factor system) - zoning</w:t>
      </w:r>
    </w:p>
    <w:p>
      <w:pPr>
        <w:pStyle w:val="BodyText"/>
        <w:spacing w:line="239" w:lineRule="exact"/>
        <w:ind w:left="100"/>
      </w:pPr>
      <w:r>
        <w:rPr/>
        <w:t xml:space="preserve"> ’ ovario viscometer ’ and gerosat ’ devices and</w:t>
      </w:r>
    </w:p>
    <w:p>
      <w:pPr>
        <w:pStyle w:val="BodyText"/>
        <w:spacing w:before="1"/>
        <w:rPr>
          <w:sz w:val="18"/>
        </w:rPr>
      </w:pPr>
    </w:p>
    <w:p>
      <w:pPr>
        <w:pStyle w:val="Heading1"/>
        <w:spacing w:line="241" w:lineRule="exact"/>
      </w:pPr>
      <w:r>
        <w:rPr/>
        <w:t xml:space="preserve"> Customs rules</w:t>
      </w:r>
    </w:p>
    <w:p>
      <w:pPr>
        <w:pStyle w:val="BodyText"/>
        <w:ind w:left="100" w:right="5796"/>
      </w:pPr>
      <w:r>
        <w:rPr/>
        <w:t>Goods authorised to use Customs services by entry for access will also be authorised to use these services without the need for skill.</w:t>
      </w:r>
    </w:p>
    <w:p>
      <w:pPr>
        <w:pStyle w:val="BodyText"/>
        <w:spacing w:before="9"/>
        <w:rPr>
          <w:sz w:val="17"/>
        </w:rPr>
      </w:pPr>
    </w:p>
    <w:p>
      <w:pPr>
        <w:pStyle w:val="Heading1"/>
        <w:spacing w:line="241" w:lineRule="exact"/>
      </w:pPr>
      <w:r>
        <w:rPr/>
        <w:t xml:space="preserve"> Further information</w:t>
      </w:r>
    </w:p>
    <w:p>
      <w:pPr>
        <w:pStyle w:val="BodyText"/>
        <w:ind w:left="100" w:right="5971"/>
      </w:pPr>
      <w:r>
        <w:rPr/>
        <w:t xml:space="preserve"> Further information regarding Queensland forestry products, for importers and importers' advocates, can be obtained from</w:t>
      </w:r>
    </w:p>
    <w:p>
      <w:pPr>
        <w:pStyle w:val="BodyText"/>
        <w:spacing w:line="239" w:lineRule="exact"/>
        <w:ind w:left="100"/>
      </w:pPr>
      <w:r>
        <w:rPr/>
        <w:t>Industry and Environment Queensland, or through:</w:t>
      </w:r>
    </w:p>
    <w:p>
      <w:pPr>
        <w:pStyle w:val="BodyText"/>
        <w:spacing w:before="1"/>
        <w:rPr>
          <w:sz w:val="18"/>
        </w:rPr>
      </w:pPr>
    </w:p>
    <w:p>
      <w:pPr>
        <w:spacing w:before="0"/>
        <w:ind w:left="100" w:right="7949" w:firstLine="0"/>
        <w:jc w:val="left"/>
        <w:rPr>
          <w:sz w:val="21"/>
        </w:rPr>
      </w:pPr>
      <w:r>
        <w:rPr>
          <w:b w:val="0"/>
          <w:i w:val="0"/>
          <w:sz w:val="21"/>
          <w:u w:val="none"/>
        </w:rPr>
        <w:t>Industry and Environment SUNA (02) 6207 5454</w:t>
      </w:r>
      <w:r>
        <w:rPr>
          <w:sz w:val="21"/>
        </w:rPr>
      </w:r>
    </w:p>
    <w:p>
      <w:pPr>
        <w:spacing w:after="0"/>
        <w:jc w:val="left"/>
        <w:rPr>
          <w:sz w:val="21"/>
        </w:rPr>
        <w:sectPr>
          <w:pgSz w:w="11900" w:h="16840"/>
          <w:pgMar w:top="500" w:bottom="280" w:left="600" w:right="540"/>
        </w:sectPr>
      </w:pPr>
    </w:p>
    <w:p>
      <w:pPr>
        <w:pStyle w:val="BodyText"/>
        <w:spacing w:before="78"/>
        <w:ind w:left="100" w:right="5796"/>
      </w:pPr>
      <w:r>
        <w:rPr/>
        <w:t>Further details on Sea Shepherd and the Sea Toilet Fishing Industry: Origin</w:t>
      </w:r>
    </w:p>
    <w:p>
      <w:pPr>
        <w:pStyle w:val="BodyText"/>
        <w:rPr>
          <w:sz w:val="18"/>
        </w:rPr>
      </w:pPr>
    </w:p>
    <w:p>
      <w:pPr>
        <w:pStyle w:val="Heading1"/>
        <w:spacing w:line="241" w:lineRule="exact"/>
      </w:pPr>
      <w:r>
        <w:rPr/>
        <w:t xml:space="preserve"> Broker Arrangements</w:t>
      </w:r>
    </w:p>
    <w:p>
      <w:pPr>
        <w:pStyle w:val="BodyText"/>
        <w:spacing w:line="240" w:lineRule="exact"/>
        <w:ind w:left="100"/>
      </w:pPr>
      <w:r>
        <w:rPr/>
        <w:t xml:space="preserve"> Australian Customs Service</w:t>
      </w:r>
    </w:p>
    <w:p>
      <w:pPr>
        <w:pStyle w:val="BodyText"/>
        <w:ind w:left="100" w:right="5796"/>
      </w:pPr>
      <w:r>
        <w:rPr/>
        <w:t>CANBERRA ACT 2601</w:t>
      </w:r>
    </w:p>
    <w:p>
      <w:pPr>
        <w:pStyle w:val="BodyText"/>
        <w:spacing w:before="10"/>
        <w:rPr>
          <w:sz w:val="17"/>
        </w:rPr>
      </w:pPr>
    </w:p>
    <w:p>
      <w:pPr>
        <w:pStyle w:val="Heading1"/>
        <w:spacing w:line="241" w:lineRule="exact" w:before="1"/>
      </w:pPr>
      <w:r>
        <w:rPr/>
        <w:t>Tasmania</w:t>
      </w:r>
    </w:p>
    <w:p>
      <w:pPr>
        <w:pStyle w:val="BodyText"/>
        <w:ind w:left="100" w:right="6951"/>
      </w:pPr>
      <w:r>
        <w:rPr/>
        <w:t>All enquiries should be directed to: Taylor Kent</w:t>
      </w:r>
    </w:p>
    <w:p>
      <w:pPr>
        <w:pStyle w:val="BodyText"/>
        <w:spacing w:line="239" w:lineRule="exact"/>
        <w:ind w:left="100"/>
      </w:pPr>
      <w:r>
        <w:rPr/>
        <w:t xml:space="preserve"> Imports Branch National Organiser in the relevant</w:t>
      </w:r>
    </w:p>
    <w:p>
      <w:pPr>
        <w:pStyle w:val="BodyText"/>
        <w:rPr>
          <w:sz w:val="18"/>
        </w:rPr>
      </w:pPr>
    </w:p>
    <w:p>
      <w:pPr>
        <w:pStyle w:val="BodyText"/>
        <w:spacing w:line="241" w:lineRule="exact"/>
        <w:ind w:left="100"/>
      </w:pPr>
      <w:r>
        <w:rPr/>
        <w:t xml:space="preserve"> Fax : 06 275</w:t>
      </w:r>
    </w:p>
    <w:p>
      <w:pPr>
        <w:pStyle w:val="BodyText"/>
        <w:ind w:left="100" w:right="6951"/>
      </w:pPr>
      <w:r>
        <w:rPr/>
        <w:t>National Manager Customs Compliance Branch</w:t>
      </w:r>
    </w:p>
    <w:p>
      <w:pPr>
        <w:pStyle w:val="BodyText"/>
        <w:rPr>
          <w:sz w:val="18"/>
        </w:rPr>
      </w:pPr>
    </w:p>
    <w:p>
      <w:pPr>
        <w:pStyle w:val="BodyText"/>
        <w:ind w:left="100"/>
      </w:pPr>
      <w:r>
        <w:rPr/>
        <w:t>8 February 2000</w:t>
      </w:r>
    </w:p>
    <w:p>
      <w:pPr>
        <w:pStyle w:val="BodyText"/>
        <w:spacing w:before="1"/>
        <w:rPr>
          <w:sz w:val="18"/>
        </w:rPr>
      </w:pPr>
    </w:p>
    <w:p>
      <w:pPr>
        <w:pStyle w:val="BodyText"/>
        <w:ind w:left="100"/>
      </w:pPr>
      <w:r>
        <w:rPr/>
        <w:t>Trusted Trader Compliance</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