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Giri Arulampo , CEO , Trade Protection</w:t>
      </w:r>
    </w:p>
    <w:p>
      <w:pPr>
        <w:spacing w:line="312" w:lineRule="auto" w:before="390"/>
        <w:ind w:left="100" w:right="0" w:firstLine="0"/>
        <w:jc w:val="left"/>
        <w:rPr>
          <w:b/>
          <w:sz w:val="36"/>
        </w:rPr>
      </w:pPr>
      <w:r>
        <w:rPr>
          <w:b/>
          <w:color w:val="202020"/>
          <w:sz w:val="36"/>
        </w:rPr>
        <w:t xml:space="preserve"> Non-originating materials, goods as to which the termException No.1 applies to, or from overseas, are classified in Schedule 4B to the Customs Tariff.</w:t>
      </w:r>
    </w:p>
    <w:p>
      <w:pPr>
        <w:pStyle w:val="BodyText"/>
        <w:spacing w:before="159"/>
        <w:ind w:right="81"/>
      </w:pPr>
      <w:r>
        <w:rPr/>
        <w:t>When goods are classed with a DP, they are governed by the State or Territory management codes which are used in that State, those codes must be applied to any goods imported under code 5013 unless the State or Territory provides legislation which permits a separate symbol to be used.</w:t>
      </w:r>
    </w:p>
    <w:p>
      <w:pPr>
        <w:pStyle w:val="BodyText"/>
        <w:spacing w:before="9"/>
        <w:ind w:left="0"/>
        <w:rPr>
          <w:sz w:val="17"/>
        </w:rPr>
      </w:pPr>
    </w:p>
    <w:p>
      <w:pPr>
        <w:pStyle w:val="BodyText"/>
        <w:ind w:right="711"/>
      </w:pPr>
      <w:r>
        <w:rPr/>
        <w:t xml:space="preserve"> Where the State or Territory has legislative arrangements which allow for the exportation or exportation of certain inbounds goods bearing State authority or that have been produced or imported in Australia by a person not authorised to give them the consent of the owner it has the power to impose an import duty of that degree on those goods.</w:t>
      </w:r>
    </w:p>
    <w:p>
      <w:pPr>
        <w:pStyle w:val="BodyText"/>
        <w:ind w:left="0"/>
        <w:rPr>
          <w:sz w:val="18"/>
        </w:rPr>
      </w:pPr>
    </w:p>
    <w:p>
      <w:pPr>
        <w:pStyle w:val="BodyText"/>
        <w:ind w:right="198"/>
      </w:pPr>
      <w:r>
        <w:rPr/>
        <w:t xml:space="preserve"> Where goods classified with a DP are imported out-of-bounds unless the consignor makes them in a bona fide way (where those goods are parts or accessories in the nature of containers), they are required to be classified with an ID and establish that they have provided their consent for the use of the authority of the owner. In some cases the owner may choose to lodge a written objection with Customs, a formal Notice of Objection, at that time.</w:t>
      </w:r>
    </w:p>
    <w:p>
      <w:pPr>
        <w:pStyle w:val="BodyText"/>
        <w:spacing w:before="9"/>
        <w:ind w:left="0"/>
        <w:rPr>
          <w:sz w:val="17"/>
        </w:rPr>
      </w:pPr>
    </w:p>
    <w:p>
      <w:pPr>
        <w:pStyle w:val="BodyText"/>
        <w:ind w:right="501"/>
      </w:pPr>
      <w:r>
        <w:rPr/>
        <w:t xml:space="preserve"> The weighing and measuring apparatus used to determine if an importer has been authorised to export goods under the Leahy Act or under section 22BJ is excluded from the Definition of Australian Goods in ABC Regulation 13/5a.</w:t>
      </w:r>
    </w:p>
    <w:p>
      <w:pPr>
        <w:pStyle w:val="BodyText"/>
        <w:ind w:left="0"/>
        <w:rPr>
          <w:sz w:val="18"/>
        </w:rPr>
      </w:pPr>
    </w:p>
    <w:p>
      <w:pPr>
        <w:pStyle w:val="BodyText"/>
        <w:ind w:right="431"/>
      </w:pPr>
      <w:r>
        <w:rPr/>
        <w:t xml:space="preserve"> For items dealing with containers (such as sleeping bags or rugs), special arrangements for lodging an NT Approved Application for Export (ADE) under the Least Developed Countries Scheme (LDCSG) preclude the issue of a PE ID and establish the status offroad' in that Territory.</w:t>
      </w:r>
    </w:p>
    <w:p>
      <w:pPr>
        <w:pStyle w:val="BodyText"/>
        <w:ind w:left="0"/>
        <w:rPr>
          <w:sz w:val="18"/>
        </w:rPr>
      </w:pPr>
    </w:p>
    <w:p>
      <w:pPr>
        <w:pStyle w:val="BodyText"/>
      </w:pPr>
      <w:r>
        <w:rPr/>
        <w:t xml:space="preserve"> Jacob Hardie ACN</w:t>
      </w:r>
    </w:p>
    <w:p>
      <w:pPr>
        <w:pStyle w:val="BodyText"/>
        <w:spacing w:before="1"/>
        <w:ind w:left="0"/>
        <w:rPr>
          <w:sz w:val="18"/>
        </w:rPr>
      </w:pPr>
    </w:p>
    <w:p>
      <w:pPr>
        <w:pStyle w:val="BodyText"/>
        <w:spacing w:line="446" w:lineRule="auto"/>
        <w:ind w:right="7681"/>
      </w:pPr>
      <w:r>
        <w:rPr/>
        <w:t>55 Tower Park road</w:t>
      </w:r>
    </w:p>
    <w:p>
      <w:pPr>
        <w:pStyle w:val="BodyText"/>
        <w:spacing w:before="2"/>
      </w:pPr>
      <w:r>
        <w:rPr/>
        <w:t>NERFNA V12 TARROJACO ACT 2601</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