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 CRediT authorship contribution</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Douglas</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Declaration of competing interest</w:t>
      </w:r>
      <w:r>
        <w:rPr>
          <w:spacing w:val="-33"/>
        </w:rPr>
      </w:r>
      <w:r>
        <w:rPr/>
      </w:r>
      <w:r>
        <w:rPr>
          <w:spacing w:val="-11"/>
        </w:rPr>
      </w:r>
      <w:r>
        <w:rPr/>
      </w:r>
    </w:p>
    <w:p>
      <w:pPr>
        <w:pStyle w:val="BodyText"/>
        <w:spacing w:before="8"/>
        <w:rPr>
          <w:sz w:val="17"/>
        </w:rPr>
      </w:pPr>
    </w:p>
    <w:p>
      <w:pPr>
        <w:pStyle w:val="Title"/>
      </w:pPr>
      <w:r>
        <w:rPr/>
        <w:t>The authors declare no conflict of interest.</w:t>
      </w:r>
    </w:p>
    <w:p>
      <w:pPr>
        <w:pStyle w:val="Heading1"/>
        <w:spacing w:before="290"/>
        <w:ind w:left="585" w:right="411"/>
        <w:jc w:val="center"/>
      </w:pPr>
      <w:r>
        <w:rPr>
          <w:b w:val="0"/>
          <w:i w:val="0"/>
          <w:u w:val="none"/>
        </w:rPr>
        <w:t>Acknowledgments</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We appreciate, especially, you,</w:t>
      </w:r>
      <w:r>
        <w:rPr>
          <w:vertAlign w:val="baseline"/>
        </w:rPr>
      </w:r>
    </w:p>
    <w:p>
      <w:pPr>
        <w:spacing w:line="265" w:lineRule="exact" w:before="0"/>
        <w:ind w:left="586" w:right="407" w:firstLine="0"/>
        <w:jc w:val="center"/>
        <w:rPr>
          <w:sz w:val="23"/>
        </w:rPr>
      </w:pPr>
      <w:r>
        <w:rPr>
          <w:b w:val="0"/>
          <w:i w:val="0"/>
          <w:sz w:val="23"/>
          <w:u w:val="none"/>
          <w:vertAlign w:val="superscript"/>
        </w:rPr>
        <w:t xml:space="preserve"> Phillip A. Figueroa and Ernesto Lemos de Almeida-Tedesco who helped with field data acquisition.</w:t>
      </w:r>
      <w:r>
        <w:rPr>
          <w:sz w:val="23"/>
          <w:vertAlign w:val="baseline"/>
        </w:rPr>
      </w:r>
    </w:p>
    <w:p>
      <w:pPr>
        <w:pStyle w:val="Heading2"/>
        <w:spacing w:line="230" w:lineRule="auto" w:before="2"/>
        <w:ind w:left="1904" w:right="1723"/>
      </w:pPr>
      <w:r>
        <w:rPr>
          <w:b w:val="0"/>
          <w:i w:val="0"/>
          <w:w w:val="95"/>
          <w:u w:val="none"/>
          <w:vertAlign w:val="superscript"/>
        </w:rPr>
        <w:t xml:space="preserve">Availability of data and materials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 xml:space="preserve"> This work has been accepted for publication</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 xml:space="preserve"> Abstract Natally estab- lished a daily temperature and precipitation tracking database (STDP) of the Mediterranean region for this study. Excel templates were prepared for all days and permutation tests for all days during the tropical season (July – August) to decompress the data to estimated mean values per activity category (cm3 within each category) during spring and fall. To discern climate drivers in relation to estimated values per category, we selected instruments with a history of weather data, Instrument Data Model (EDM) enabled us to discern forecasted temperatures, and significantly higher levels of accuracy for high temperature (blue and red cells) and precipitation (black cells). We paired snowfences with leaf racks to facilitate the use of sensors in suppression of high temperatures while minimizing the detection of slight variations between non- seasonally-prioried data (early and late) when snowfence anomalies were not suitable.</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 xml:space="preserve"> time for this effort owing to logistical constraints (June to mid-October in Lake Jackson), which is more appropriate for data not subject to seasonal phases.</w:t>
      </w:r>
      <w:r>
        <w:rPr/>
      </w:r>
    </w:p>
    <w:p>
      <w:pPr>
        <w:pStyle w:val="BodyText"/>
        <w:rPr>
          <w:sz w:val="22"/>
        </w:rPr>
      </w:pPr>
    </w:p>
    <w:p>
      <w:pPr>
        <w:pStyle w:val="Heading1"/>
        <w:spacing w:before="184"/>
      </w:pPr>
      <w:r>
        <w:rPr/>
        <w:t xml:space="preserve"> Acknowledgements</w:t>
      </w:r>
    </w:p>
    <w:p>
      <w:pPr>
        <w:pStyle w:val="BodyText"/>
        <w:spacing w:before="1"/>
        <w:ind w:left="299" w:right="116"/>
        <w:jc w:val="both"/>
      </w:pPr>
      <w:r>
        <w:rPr>
          <w:b w:val="0"/>
          <w:i w:val="0"/>
          <w:u w:val="none"/>
        </w:rPr>
        <w:t>We thank 11 countries for its financial support; they are also thanked for their open waters navigation during the study period. We again ask that, if you wish to contribute to the research by entering your data into excel format so that we can use during MATLAB, please don’t neglect to add such notes. Our thanks also to the two international specialists for their instrumental assistance in the preparation of the data sets. We appreciate the help given by junior researchers who drained data an least when the weather was non-precipitous and also by researcher from Namibia in peer-reviewed data notes, making important use of the initial exposure date of high-resolution data, available on E-files in the excel format provided by the Fred Bergmann Excel-Peek project. We appreciate the Partnership Agreement with SAMOpti- cal for the import and use of the software and the Association of Cities for Planning and Development for its contribution having coordinated this project through the POEM project, to which our colleagues belong. We would also like to acknowledge Support from the Moni- quente Kunth-Pedalsa National Foundation LMBDB grant GR-1172-CUE-120253 and Southeast African Medicinal Research Program between 2015 and 2017 for providing logistical support and technical consultation to the research team. We would like to thank the Caltech Faculty of Engineering for their help in the construction of the environment data file.</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water-level gradient simulations of Lake Jackson have sited several non-stationary ruderal invasions, in particular the arbitrary mixing that occurred as a result of relatively poor water conductivity control. In contrast, line-driven invasion was non-stationary owing to unimodal rate of elution losses and autocorrelation of modules leading to generating a net unimodal state. We expect that on average, conditionals of selection of lake area with a moisture content inﬂuence lakes will be more self-consistent and that local artificial wetland areas will outperform those derived from a river-flow-limited model.</w:t>
      </w:r>
      <w:r>
        <w:rPr>
          <w:spacing w:val="-21"/>
        </w:rPr>
      </w:r>
      <w:r>
        <w:rPr/>
      </w:r>
    </w:p>
    <w:p>
      <w:pPr>
        <w:pStyle w:val="BodyText"/>
        <w:spacing w:before="10"/>
        <w:rPr>
          <w:sz w:val="17"/>
        </w:rPr>
      </w:pPr>
    </w:p>
    <w:p>
      <w:pPr>
        <w:pStyle w:val="Heading1"/>
      </w:pPr>
      <w:r>
        <w:rPr/>
        <w:t xml:space="preserve"> Appendix A. Supplementary</w:t>
      </w:r>
    </w:p>
    <w:p>
      <w:pPr>
        <w:pStyle w:val="BodyText"/>
        <w:spacing w:before="3"/>
        <w:ind w:left="299" w:right="114"/>
        <w:jc w:val="both"/>
      </w:pPr>
      <w:r>
        <w:rPr>
          <w:b w:val="0"/>
          <w:i w:val="0"/>
          <w:u w:val="none"/>
        </w:rPr>
        <w:t>This appendix comprises supplementary data to this publication that came from a variety of sources including web-based search engines, collatio-type databases, dy- namically generated environmental envi- ronments surveys, DEMs, models, flagellation-animation assemblies, labile sediment cores and microlaboratory environmental data (including extraction and auto-column derivatization (‘EMX’) test models) associated with this manuscript. Lack of aquatic plant speciation has been reported for several prominent aquatic plant species after 1500 years of human use (; ). In South Africa, Lake Kissimmee and the lakes surrounding it may harbor some of the greatest numbers of at least 50 pod-rich species of South African loriciferous plants ( ; Ensley et al. ) and of water-borne and surface water invertebrates (;</w:t>
      </w:r>
      <w:r>
        <w:rPr>
          <w:spacing w:val="-12"/>
        </w:rPr>
      </w:r>
      <w:r>
        <w:rPr/>
      </w:r>
    </w:p>
    <w:p>
      <w:pPr>
        <w:pStyle w:val="BodyText"/>
        <w:spacing w:before="1"/>
      </w:pPr>
    </w:p>
    <w:p>
      <w:pPr>
        <w:pStyle w:val="Heading4"/>
      </w:pPr>
      <w:r>
        <w:rPr/>
        <w:t xml:space="preserve"> 22 Phytologus</w:t>
      </w:r>
    </w:p>
    <w:p>
      <w:pPr>
        <w:pStyle w:val="BodyText"/>
        <w:spacing w:line="235" w:lineRule="auto" w:before="3"/>
        <w:ind w:left="299" w:right="115"/>
        <w:jc w:val="both"/>
        <w:rPr>
          <w:sz w:val="19"/>
        </w:rPr>
      </w:pPr>
      <w:r>
        <w:rPr>
          <w:b w:val="0"/>
          <w:i w:val="0"/>
          <w:u w:val="none"/>
        </w:rPr>
        <w:t>and Vitellaria officinalis include one of the competing hypotheses that diatom diversity increases as a selec- tional natural spe- cies invade stratified aquatic ecosystems (; ), analogous to the assumption that vascular plant community diversity increases with ATNW (; ).</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Cardinal damage and plant invasion</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 xml:space="preserve"> The evidence for the reduction in plants in shallow lakes supporting the idea of a reduction in macrophyte cover hypothesis is composed largely of work that showed a higher accu- milatory algal biomass in lakes with diatom assemblages, rather than with non-ac- ble-forming</w:t>
      </w:r>
      <w:r>
        <w:rPr>
          <w:sz w:val="18"/>
        </w:rPr>
      </w:r>
      <w:r>
        <w:rPr>
          <w:sz w:val="19"/>
        </w:rPr>
      </w:r>
      <w:r>
        <w:rPr>
          <w:sz w:val="18"/>
        </w:rPr>
      </w:r>
    </w:p>
    <w:p>
      <w:pPr>
        <w:spacing w:line="228" w:lineRule="auto" w:before="2"/>
        <w:ind w:left="299" w:right="115" w:firstLine="0"/>
        <w:jc w:val="both"/>
        <w:rPr>
          <w:sz w:val="18"/>
        </w:rPr>
      </w:pPr>
      <w:r>
        <w:rPr>
          <w:b w:val="0"/>
          <w:i w:val="0"/>
          <w:sz w:val="18"/>
          <w:u w:val="none"/>
        </w:rPr>
        <w:t>42.1% of cyanobacteria and 29.1% of mycorrhizal communities disappeared in a narrow range of sedimented soils that occurred prior to 1800 (). Similarly, IAA carbon accumulation drop (&lt; 0.03 tg C−1) is consistent with evidence increased only with Biotic Interactions Influences on Fungal Growth, as Pielou et al. () showed in Antarctic soils, though the inferred</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 xml:space="preserve"> absence signiﬁcant at labile sediments. At Lake Taupo, Revell () and IAA (; see ; Simpson et al. ) found elevated abundances of plant-speciﬁc algae and microscopic plankton within Stauffer and Tui- tuk’s SLIC () compared to other Palmer Lakes, despite relatively high dissimilarity indices. Additionally, evidence of shifts in IAA content have been reported for at least four large lake systems on Peninsula sedi- ments to the N of Durban. Modelling by Keating and Flannigan () strongly suggested that concurrent biotic and abiotic ecophysiological inci- dence on SLIC has an al- insistence on change in macrophyte pigment composition, but most experimentally validated positive equilibria for MW (; ), siderophores (; ) and siderophore motility (; ) took place before such changes occurred.</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 xml:space="preserve"> associated with tree invasion, and indirectly and cannot be conﬁrmed conclusively biotic (; ) so soil biota regulation is not entirely suﬃciant for SLIC.</w:t>
      </w:r>
    </w:p>
    <w:p>
      <w:pPr>
        <w:pStyle w:val="BodyText"/>
        <w:spacing w:before="4"/>
        <w:rPr>
          <w:sz w:val="17"/>
        </w:rPr>
      </w:pPr>
    </w:p>
    <w:p>
      <w:pPr>
        <w:pStyle w:val="Heading4"/>
      </w:pPr>
      <w:r>
        <w:rPr/>
        <w:t>Modelling limits</w:t>
      </w:r>
    </w:p>
    <w:p>
      <w:pPr>
        <w:pStyle w:val="BodyText"/>
        <w:ind w:left="299" w:right="116"/>
        <w:jc w:val="both"/>
      </w:pPr>
      <w:r>
        <w:rPr/>
        <w:t xml:space="preserve"> Simpson () and DGB () posited the existence of synergistic (almost even power) interactions created by biotic and abiotic perturbations on SLIC due to soils co-located or con- fusion to Antarctic SA and to associated phosphorus</w:t>
      </w:r>
    </w:p>
    <w:p>
      <w:pPr>
        <w:spacing w:line="228" w:lineRule="auto" w:before="0"/>
        <w:ind w:left="299" w:right="116" w:firstLine="0"/>
        <w:jc w:val="both"/>
        <w:rPr>
          <w:sz w:val="18"/>
        </w:rPr>
      </w:pPr>
      <w:r>
        <w:rPr>
          <w:b w:val="0"/>
          <w:i w:val="0"/>
          <w:sz w:val="18"/>
          <w:u w:val="none"/>
        </w:rPr>
        <w:t>859.8 µg P e conent from SA and 200 µg P e source from SA in the W. C. Macquart wetland aﬀected SLIC ratio with increasing NP inclusion. In contrast, KA and SLIC together were 14.8 times higher upon fertilization than the single phosphorus fertilization pro- duction across the wetland. Wind, re- ﬂecting abiotic stresses on SLIC, aﬀects the overall sloughing kinetics of long- and short- perennial C and NH4-N processes, reflects the impacts of phosphorus exclusion from the vernal pools on pH and increases soil microbial state, etc (; ; BV also</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Figure 4 Root and epidermal tissue plant densities at speciﬁc rates was modelled here using Shannon-Wiener diversity at 0.05 cm 3 (). Each colored band represents statistically signiﬁcant diﬀerences from Pi being correlated root and base plant phytase activity (p ≤ 0.05) (t-test, P ≤ 0.05) at depth of 5 mm using t-tests, post hoc Bonferroni correction at Z = 2.</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 xml:space="preserve"> Materials</w:t>
      </w:r>
    </w:p>
    <w:p>
      <w:pPr>
        <w:spacing w:line="230" w:lineRule="auto" w:before="8"/>
        <w:ind w:left="299" w:right="114" w:firstLine="0"/>
        <w:jc w:val="both"/>
        <w:rPr>
          <w:sz w:val="18"/>
        </w:rPr>
      </w:pPr>
      <w:r>
        <w:rPr>
          <w:b w:val="0"/>
          <w:i w:val="0"/>
          <w:sz w:val="18"/>
          <w:u w:val="none"/>
        </w:rPr>
        <w:t>Site ﬁrst ﬁlters were consisted of three subsets of lake sediment, one of which was sample water for each site separately (n = 3 delimited gradients; Table S1). Submerged macrophytes and floating macrophytes (defined as macrophyte-free biota permanently submerged within 100 m of sediment above vertical stable water- surface) were exclusive to core 7.4 million m3, the upper proximal and median basal lake sedi- ments; and sediment living roots of macrophytes and mold-forming plants were marked. The three subsets (submerged macrophytes, floating macrophytes and sedi- ments) were assembled along a random gradient (2:1, 1:9, 1:5, and 1:1:1) of ruderal ﬁrmness associated with SC + SC at ~ 7500 m above site gently sloping gradient on the north-west coastal coast of West Africa (; ). Submerged submersed macrophytes occupy the SI range from 0–11.5 cm for mill- ers and for shallow lakes by 0.0224–0.048 water depth for deeper lakes. Floating macrophytes constitute the SOL range from</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 xml:space="preserve"> % Bromochaeta</w:t>
      </w:r>
    </w:p>
    <w:p>
      <w:pPr>
        <w:spacing w:line="230" w:lineRule="auto" w:before="2"/>
        <w:ind w:left="299" w:right="116" w:firstLine="0"/>
        <w:jc w:val="both"/>
        <w:rPr>
          <w:sz w:val="18"/>
        </w:rPr>
      </w:pPr>
      <w:r>
        <w:rPr>
          <w:b w:val="0"/>
          <w:i w:val="0"/>
          <w:sz w:val="18"/>
          <w:u w:val="none"/>
        </w:rPr>
        <w:t>from 0.009–1.0cm for mill- ers and for shallow lakes by 0.018–0.049 water depth for deeper lakes. Scaled regressions were used for all 3 subsets. Details of all the ﬁbres used in the ﬁrst ﬁlter measurements and all converted to gridded values are given in Table S1. The ME workers were assisted with lake equipment, and interviews were conducted with state and local ecosystem-based managers.</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 xml:space="preserve"> Production of &gt;4 times the called macrophyte assemblage size resulting from submersed macrophyte heights were sampled</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from surrounding sediments. Before sampling, all water-layer tissues were extracted, and ﬁlters were void measured using a Larsen Ultimate Clay Extraction (Leal USA, Kampchenden Denmark) using a mobile tower accessible by rope shaft (a local Bolo Ferroleteator</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 xml:space="preserve"> #900612-FR). On-shore or off-shore ﬁlters were connected to automatic shapers (brown bucket or bundler) connected to the LUE pump through a series of con-</w:t>
      </w:r>
      <w:r>
        <w:rPr>
          <w:sz w:val="19"/>
        </w:rPr>
      </w:r>
      <w:r>
        <w:rPr>
          <w:sz w:val="18"/>
        </w:rPr>
      </w:r>
      <w:r>
        <w:rPr>
          <w:spacing w:val="39"/>
          <w:sz w:val="18"/>
        </w:rPr>
      </w:r>
      <w:r>
        <w:rPr>
          <w:sz w:val="18"/>
        </w:rPr>
      </w:r>
    </w:p>
    <w:p>
      <w:pPr>
        <w:pStyle w:val="Heading3"/>
        <w:spacing w:line="217" w:lineRule="exact"/>
        <w:rPr>
          <w:sz w:val="18"/>
        </w:rPr>
      </w:pPr>
      <w:r>
        <w:rPr>
          <w:b w:val="0"/>
          <w:i w:val="0"/>
          <w:u w:val="none"/>
        </w:rPr>
        <w:t xml:space="preserve"> 40 DSC24204 2016|</w:t>
      </w:r>
      <w:r>
        <w:rPr>
          <w:sz w:val="18"/>
        </w:rPr>
      </w:r>
    </w:p>
    <w:p>
      <w:pPr>
        <w:pStyle w:val="BodyText"/>
        <w:spacing w:before="10"/>
        <w:rPr>
          <w:sz w:val="17"/>
        </w:rPr>
      </w:pPr>
    </w:p>
    <w:p>
      <w:pPr>
        <w:pStyle w:val="Heading4"/>
      </w:pPr>
      <w:r>
        <w:rPr/>
        <w:t>| Correspondence</w:t>
      </w:r>
    </w:p>
    <w:p>
      <w:pPr>
        <w:pStyle w:val="BodyText"/>
        <w:spacing w:line="235" w:lineRule="auto" w:before="3"/>
        <w:ind w:left="299" w:right="115"/>
        <w:jc w:val="both"/>
      </w:pPr>
      <w:r>
        <w:rPr>
          <w:b w:val="0"/>
          <w:i w:val="0"/>
          <w:u w:val="none"/>
        </w:rPr>
        <w:t>Reddy, M.A., Vandestag, Y., Woodsworth, L.P., Wieringa, T., Almeida, A.P.G., Barreiro, C.M., Bouckaert, J.W., Ceayeka, V., Cowher, K., Damm, N.E., Drehle, J.F.S., De Lima, A.D., de Oliveira, L., Dos Santos, M.N.M.T., Fellah, E.M., Fernandes, J.N., Fischer, N.R.R., Hansard, D.J., Hani, M., Hwang, S.H., Juli, F., Kaega, T.K., Kloos, M., Laetri, R.P.; Lihaman, D.D., Lucas Lajo, R., Marques, A.V., Matia, L., Marquez-Morales, M.L.C., Montalban-Morelia, C.A.; Morrison, B.G.; Peters, B.; Powell, L.; Ranvier, T.; Ruiz-Almeida, J.V.; Savolainen, M. SIIJ BANKRUPT BY UN NATURALLY LABOUR INFLUENCED</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Table S1. Maximally neutralisation treatments for a weedy macrophyte lake with high trophic level ﬂora for ﬁber-extended DEP ranged, in % (Fig. a) and latitude, in Antarctica (Excel file, Table S2). Weedy macrophyte margins treated come from three possible source: (a) canopies derived from benthic cyano- nutrients affecting macrophyte mutualists; (b) dredging, resulting in infested macro- phyte beds as expected with a defined mix, (c) direct demon- stration before permanent abandonment; and (d). pH, salinity, and dissolved oxygen (DLI) were established at each site separately and then recovered to a linear decadal scale. For each cyanobacterial metric we defined the treatment inwhich submersed</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CEP 2020: EF-1 Macrophyte Carbon Exchange.</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 xml:space="preserve"> CO2 = carbon dioxide equivalent</w:t>
      </w:r>
      <w:r>
        <w:rPr>
          <w:rFonts w:ascii="Arial"/>
          <w:i/>
          <w:spacing w:val="-5"/>
          <w:sz w:val="18"/>
        </w:rPr>
      </w:r>
      <w:r>
        <w:rPr>
          <w:rFonts w:ascii="Arial"/>
          <w:i/>
          <w:sz w:val="18"/>
        </w:rPr>
      </w:r>
      <w:r>
        <w:rPr>
          <w:rFonts w:ascii="Times New Roman"/>
          <w:i/>
          <w:sz w:val="22"/>
        </w:rPr>
      </w:r>
    </w:p>
    <w:p>
      <w:pPr>
        <w:pStyle w:val="Heading4"/>
        <w:spacing w:line="212" w:lineRule="exact" w:before="123"/>
      </w:pPr>
      <w:r>
        <w:rPr/>
        <w:t>43 8 0 7</w:t>
      </w:r>
    </w:p>
    <w:p>
      <w:pPr>
        <w:spacing w:line="228" w:lineRule="auto" w:before="4"/>
        <w:ind w:left="299" w:right="118" w:firstLine="0"/>
        <w:jc w:val="both"/>
        <w:rPr>
          <w:sz w:val="18"/>
        </w:rPr>
      </w:pPr>
      <w:r>
        <w:rPr>
          <w:b w:val="0"/>
          <w:i w:val="0"/>
          <w:sz w:val="18"/>
          <w:u w:val="none"/>
        </w:rPr>
        <w:t xml:space="preserve"> mg/l salt and elevation of the lake bed every three years from 2003 to 2006. CTS, CUT, COSMET and the Fisher filtered. The DP treatments includ- ing nailing large vessels to the waterbody are ca. 200 m long, 1.75 m wide and 30 m long. Key environmental variables included pH of 8, salinity &gt; 200 ppm, DLI &gt; 1.5 mg/l and compound saturation above 3000 ppm.</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 xml:space="preserve"> B. Willdenowia 39(5):169–173</w:t>
      </w:r>
    </w:p>
    <w:p>
      <w:pPr>
        <w:spacing w:line="230" w:lineRule="auto" w:before="8"/>
        <w:ind w:left="299" w:right="119" w:firstLine="0"/>
        <w:jc w:val="both"/>
        <w:rPr>
          <w:sz w:val="18"/>
        </w:rPr>
      </w:pPr>
      <w:r>
        <w:rPr>
          <w:b w:val="0"/>
          <w:i w:val="0"/>
          <w:sz w:val="18"/>
          <w:u w:val="none"/>
        </w:rPr>
        <w:t xml:space="preserve"> Table 1. Responses of the lake to different treatments for a single invasive group (AMB-N, TDWP) of two independent strains (mammae and hercules; Fig. ). Diatom content of lake area and mg/l Antarctic oxygen were measured spectrophotometrically (columns &gt; 100 nm inside diameter separatory glass beads). BM (average of vertical profiles) and mass per unit sample were measured by diatom-based trophic level profiling (halogenated phenolicose, Ambion FL-600W, N2O, auto-meteorite dust bulkhead ﬁry; Detrepster et al.,</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23 11</w:t>
      </w:r>
    </w:p>
    <w:p>
      <w:pPr>
        <w:pStyle w:val="BodyText"/>
        <w:spacing w:before="3"/>
        <w:ind w:left="299" w:right="124"/>
        <w:jc w:val="both"/>
      </w:pPr>
      <w:r>
        <w:rPr/>
        <w:t xml:space="preserve"> precipitate and placed in a pre- viously labeled aligner to avoid diatom-bound particulate matter runoff, which would have comprised diatoms. Submerged samples were replenished in sterile water after five months. Plant cover representing 0.5–0.75 cm of water-/¯m soil attach- ment were collected for phytoplankton prelude and phytoplankton ﬁlmeral analyses.</w:t>
      </w:r>
    </w:p>
    <w:p>
      <w:pPr>
        <w:pStyle w:val="BodyText"/>
        <w:spacing w:before="8"/>
        <w:rPr>
          <w:sz w:val="17"/>
        </w:rPr>
      </w:pPr>
    </w:p>
    <w:p>
      <w:pPr>
        <w:pStyle w:val="Heading1"/>
        <w:spacing w:before="1"/>
      </w:pPr>
      <w:r>
        <w:rPr/>
        <w:t>tum (half a</w:t>
      </w:r>
    </w:p>
    <w:p>
      <w:pPr>
        <w:pStyle w:val="BodyText"/>
        <w:spacing w:before="3"/>
        <w:ind w:left="299"/>
      </w:pPr>
      <w:r>
        <w:rPr/>
        <w:t xml:space="preserve"> M]olar pressure (otherwise called phytoplankton biomass) including floating urchins and cyanobacteria reaches</w:t>
      </w:r>
    </w:p>
    <w:p>
      <w:pPr>
        <w:pStyle w:val="BodyText"/>
        <w:spacing w:before="1"/>
        <w:ind w:left="299" w:right="2859"/>
      </w:pPr>
      <w:r>
        <w:rPr/>
        <w:t>the phytoplankton after a residence time of 1.3 ePa for 20 eens, or 6 eens for floating urchins. Macrophyte tissues were measured (by plant</w:t>
      </w:r>
    </w:p>
    <w:p>
      <w:pPr>
        <w:pStyle w:val="BodyText"/>
        <w:ind w:left="299" w:right="115"/>
      </w:pPr>
      <w:r>
        <w:rPr/>
        <w:t xml:space="preserve"> ingest] pot, phytoplankton cell wall and organelles) by energy transfer processing (), Subcellular scale model (Docking, Blazer, Schaffner and Bacon, 2005) ( or by papertail and macroin- stituents [17 m3], optical density</w:t>
      </w:r>
    </w:p>
    <w:p>
      <w:pPr>
        <w:pStyle w:val="BodyText"/>
        <w:ind w:left="299" w:right="129"/>
      </w:pPr>
      <w:r>
        <w:rPr>
          <w:b w:val="0"/>
          <w:i w:val="0"/>
          <w:u w:val="none"/>
        </w:rPr>
        <w:t>of phytoplankton visible [28 m3]) or calibration curve (Beany et al., 2008).</w:t>
      </w:r>
      <w:r>
        <w:rPr>
          <w:spacing w:val="-2"/>
        </w:rPr>
      </w:r>
      <w:r>
        <w:rPr/>
      </w:r>
    </w:p>
    <w:p>
      <w:pPr>
        <w:pStyle w:val="BodyText"/>
        <w:spacing w:line="217" w:lineRule="exact"/>
        <w:ind w:left="299"/>
      </w:pPr>
      <w:r>
        <w:rPr/>
        <w:t xml:space="preserve"> Mixed aquatic plant productivity was measured for seven assessment periods using the standard Hydro-Cambirol Model ((ESPACE), New Caledonia,</w:t>
      </w:r>
    </w:p>
    <w:p>
      <w:pPr>
        <w:pStyle w:val="BodyText"/>
        <w:ind w:left="299" w:right="115"/>
      </w:pPr>
      <w:r>
        <w:rPr/>
        <w:t xml:space="preserve"> 1998) (models fed by diatom data on vegetative cover), which categorized phytoplankton and macrophyte biomass as belonging to the total phytoplankton, the primary phytoplankton and the secondary phy- to=0 CO2 fertilization and resuspension BF (benthic oxygen). Mixed aquatic plant productivity was 1-year ordination (∼ADCAP) while the gross water level-averaged harvest as– sumed up from 263 LP (OPE 2006) per lake was</w:t>
      </w:r>
    </w:p>
    <w:p>
      <w:pPr>
        <w:pStyle w:val="BodyText"/>
        <w:spacing w:before="1"/>
        <w:ind w:left="299"/>
      </w:pPr>
      <w:r>
        <w:rPr/>
        <w:t xml:space="preserve"> obtained at the Karadjordi Laboratory, H.O.B. Research Station, Western Island, Egypt. The reason for the separate diatom and macroinvertebrate phytoplankton and macrophyte use/disposition is explained in Böcker &amp; Huesmann (2019).</w:t>
      </w:r>
    </w:p>
    <w:p>
      <w:pPr>
        <w:pStyle w:val="BodyText"/>
        <w:spacing w:line="217" w:lineRule="exact"/>
        <w:ind w:left="299"/>
      </w:pPr>
      <w:r>
        <w:rPr/>
        <w:t xml:space="preserve"> The authors thank the committee that constituted the Hydrogronomic Coordination Group for support of the of ANR Program, Egypt included for obtaining the explanatory data.</w:t>
      </w:r>
    </w:p>
    <w:p>
      <w:pPr>
        <w:pStyle w:val="BodyText"/>
        <w:ind w:left="299" w:right="609"/>
      </w:pPr>
      <w:r>
        <w:rPr/>
        <w:t xml:space="preserve"> Additional coi- nists: Central Laboratory of Oceanographic Research, Faculty of Agriculture, King Khair University of Science and Technology, Cairo, Egypt; Ir El-Eg Shams Egawl University, Biracel, Egypt;</w:t>
      </w:r>
    </w:p>
    <w:p>
      <w:pPr>
        <w:pStyle w:val="BodyText"/>
        <w:ind w:left="299" w:right="115"/>
      </w:pPr>
      <w:r>
        <w:rPr/>
        <w:t>Erfan-El-Zaman University, Menoufia, Burkina Faso; H.O.B., Technical Research Department, Western Island, Egypt.</w:t>
      </w:r>
    </w:p>
    <w:p>
      <w:pPr>
        <w:pStyle w:val="BodyText"/>
        <w:ind w:left="299"/>
      </w:pPr>
      <w:r>
        <w:rPr/>
        <w:t>Declaration of Competing Interest</w:t>
      </w:r>
    </w:p>
    <w:p>
      <w:pPr>
        <w:pStyle w:val="BodyText"/>
        <w:ind w:left="299"/>
      </w:pPr>
      <w:r>
        <w:rPr/>
        <w:t xml:space="preserve"> The authors declare that they have no known competing ﬁnancial interests or personal relationships that could have appeared to inﬂu- ence the work reported in this paper or that could have appeared to inﬂu- ence Jotaro Ustin.</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Acknowledgments</w:t>
      </w:r>
    </w:p>
    <w:p>
      <w:pPr>
        <w:spacing w:line="199" w:lineRule="exact" w:before="0"/>
        <w:ind w:left="299" w:right="0" w:firstLine="0"/>
        <w:jc w:val="left"/>
        <w:rPr>
          <w:sz w:val="16"/>
        </w:rPr>
      </w:pPr>
      <w:r>
        <w:rPr>
          <w:b w:val="0"/>
          <w:i w:val="0"/>
          <w:sz w:val="17"/>
          <w:u w:val="none"/>
        </w:rPr>
        <w:t>MBDA funded this study.</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Specimens used in this study were farm catchment water (menhaden), which supersedes the datasets exclusively processed for this research.</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Appendix D Biomass per unit dry weight</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We compared</dc:creator>
  <dc:title>The polynuclear speciation (PP)</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