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-1577430</wp:posOffset>
            </wp:positionV>
            <wp:extent cx="7559674" cy="1481448"/>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81448"/>
                    </a:xfrm>
                    <a:prstGeom prst="rect">
                      <a:avLst/>
                    </a:prstGeom>
                  </pic:spPr>
                </pic:pic>
              </a:graphicData>
            </a:graphic>
          </wp:anchor>
        </w:drawing>
      </w:r>
      <w:r>
        <w:rPr/>
        <w:t>Australian Customs Notice 1996 33</w:t>
      </w:r>
    </w:p>
    <w:p>
      <w:pPr>
        <w:pStyle w:val="Title"/>
        <w:spacing w:before="201"/>
      </w:pPr>
      <w:r>
        <w:rPr/>
        <w:pict>
          <v:rect style="position:absolute;margin-left:55.919998pt;margin-top:30.260811pt;width:506.04pt;height:.481pt;mso-position-horizontal-relative:page;mso-position-vertical-relative:paragraph;z-index:-15728640;mso-wrap-distance-left:0;mso-wrap-distance-right:0" filled="true" fillcolor="#4f81bd" stroked="false">
            <v:fill type="solid"/>
            <w10:wrap type="topAndBottom"/>
          </v:rect>
        </w:pict>
      </w:r>
      <w:r>
        <w:rPr>
          <w:b w:val="0"/>
          <w:i w:val="0"/>
          <w:u w:val="none"/>
        </w:rPr>
        <w:t>RESTRICTED TRADE MARKS</w:t>
      </w:r>
      <w:r>
        <w:rPr>
          <w:color w:val="050505"/>
        </w:rPr>
      </w:r>
    </w:p>
    <w:p>
      <w:pPr>
        <w:pStyle w:val="BodyText"/>
        <w:spacing w:before="7"/>
        <w:rPr>
          <w:b/>
          <w:sz w:val="13"/>
        </w:rPr>
      </w:pPr>
    </w:p>
    <w:p>
      <w:pPr>
        <w:spacing w:before="91"/>
        <w:ind w:left="2090" w:right="2092" w:firstLine="0"/>
        <w:jc w:val="center"/>
        <w:rPr>
          <w:b/>
          <w:sz w:val="26"/>
        </w:rPr>
      </w:pPr>
      <w:bookmarkStart w:name="Applications for Customs Broker Licence" w:id="1"/>
      <w:bookmarkEnd w:id="1"/>
      <w:r>
        <w:rPr/>
      </w:r>
      <w:r>
        <w:rPr>
          <w:b/>
          <w:sz w:val="26"/>
        </w:rPr>
        <w:t>DETROIT DETROIT PEDROIT MAIDEN</w:t>
      </w:r>
    </w:p>
    <w:p>
      <w:pPr>
        <w:pStyle w:val="BodyText"/>
        <w:spacing w:before="7"/>
        <w:rPr>
          <w:b/>
          <w:sz w:val="24"/>
        </w:rPr>
      </w:pPr>
    </w:p>
    <w:p>
      <w:pPr>
        <w:pStyle w:val="BodyText"/>
        <w:ind w:left="720" w:right="1031"/>
      </w:pPr>
      <w:r>
        <w:rPr/>
        <w:t>The following trade marks are listed in Schedule 3 to the Trade Marks Act 1995:</w:t>
      </w:r>
    </w:p>
    <w:p>
      <w:pPr>
        <w:pStyle w:val="BodyText"/>
        <w:spacing w:before="5"/>
        <w:rPr>
          <w:sz w:val="22"/>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7"/>
        <w:gridCol w:w="3189"/>
        <w:gridCol w:w="2368"/>
      </w:tblGrid>
      <w:tr>
        <w:trPr>
          <w:trHeight w:val="228" w:hRule="atLeast"/>
        </w:trPr>
        <w:tc>
          <w:tcPr>
            <w:tcW w:w="3457" w:type="dxa"/>
          </w:tcPr>
          <w:p>
            <w:pPr>
              <w:pStyle w:val="TableParagraph"/>
              <w:spacing w:line="208" w:lineRule="exact"/>
              <w:ind w:left="200"/>
              <w:rPr>
                <w:b/>
                <w:sz w:val="20"/>
              </w:rPr>
            </w:pPr>
            <w:r>
              <w:rPr>
                <w:b/>
                <w:color w:val="050505"/>
                <w:sz w:val="20"/>
                <w:u w:val="thick" w:color="050505"/>
              </w:rPr>
              <w:t>Overview</w:t>
            </w:r>
          </w:p>
        </w:tc>
        <w:tc>
          <w:tcPr>
            <w:tcW w:w="3189" w:type="dxa"/>
          </w:tcPr>
          <w:p>
            <w:pPr>
              <w:pStyle w:val="TableParagraph"/>
              <w:spacing w:line="208" w:lineRule="exact"/>
              <w:ind w:left="-1"/>
              <w:rPr>
                <w:b/>
                <w:sz w:val="20"/>
              </w:rPr>
            </w:pPr>
            <w:r>
              <w:rPr>
                <w:b/>
                <w:color w:val="050505"/>
                <w:sz w:val="20"/>
                <w:u w:val="thick" w:color="050505"/>
              </w:rPr>
              <w:t>Introduction</w:t>
            </w:r>
          </w:p>
        </w:tc>
        <w:tc>
          <w:tcPr>
            <w:tcW w:w="2368" w:type="dxa"/>
          </w:tcPr>
          <w:p>
            <w:pPr>
              <w:pStyle w:val="TableParagraph"/>
              <w:spacing w:line="208" w:lineRule="exact"/>
              <w:ind w:left="211"/>
              <w:rPr>
                <w:b/>
                <w:sz w:val="20"/>
              </w:rPr>
            </w:pPr>
            <w:r>
              <w:rPr>
                <w:b/>
                <w:color w:val="050505"/>
                <w:sz w:val="20"/>
                <w:u w:val="thick" w:color="050505"/>
              </w:rPr>
              <w:t>Legislative scheme</w:t>
            </w:r>
          </w:p>
        </w:tc>
      </w:tr>
      <w:tr>
        <w:trPr>
          <w:trHeight w:val="231" w:hRule="atLeast"/>
        </w:trPr>
        <w:tc>
          <w:tcPr>
            <w:tcW w:w="3457" w:type="dxa"/>
          </w:tcPr>
          <w:p>
            <w:pPr>
              <w:pStyle w:val="TableParagraph"/>
              <w:spacing w:line="211" w:lineRule="exact"/>
              <w:ind w:left="200"/>
              <w:rPr>
                <w:sz w:val="20"/>
              </w:rPr>
            </w:pPr>
            <w:r>
              <w:rPr>
                <w:color w:val="050505"/>
                <w:sz w:val="20"/>
              </w:rPr>
              <w:t>The Customs Legislation Amendment (Further Measures) Act (No.2) 1996 amends the Customs (Prohibited Imports) Regulations 1956 to prohibit the export of certain domestically manufactured arms, artillery, torpedoes, rockets and associated equipment to the</w:t>
            </w:r>
          </w:p>
        </w:tc>
        <w:tc>
          <w:tcPr>
            <w:tcW w:w="3189" w:type="dxa"/>
          </w:tcPr>
          <w:p>
            <w:pPr>
              <w:pStyle w:val="TableParagraph"/>
              <w:spacing w:line="211" w:lineRule="exact"/>
              <w:ind w:left="-1"/>
              <w:rPr>
                <w:sz w:val="20"/>
              </w:rPr>
            </w:pPr>
            <w:r>
              <w:rPr>
                <w:color w:val="050505"/>
                <w:sz w:val="20"/>
              </w:rPr>
              <w:t>Burma-controlled territory of Cambodia.</w:t>
            </w:r>
          </w:p>
        </w:tc>
        <w:tc>
          <w:tcPr>
            <w:tcW w:w="2368" w:type="dxa"/>
          </w:tcPr>
          <w:p>
            <w:pPr>
              <w:pStyle w:val="TableParagraph"/>
              <w:spacing w:line="211" w:lineRule="exact"/>
              <w:ind w:left="211"/>
              <w:rPr>
                <w:sz w:val="20"/>
              </w:rPr>
            </w:pPr>
            <w:r>
              <w:rPr>
                <w:sz w:val="20"/>
              </w:rPr>
              <w:t>Regulations</w:t>
            </w:r>
          </w:p>
        </w:tc>
      </w:tr>
      <w:tr>
        <w:trPr>
          <w:trHeight w:val="230" w:hRule="atLeast"/>
        </w:trPr>
        <w:tc>
          <w:tcPr>
            <w:tcW w:w="3457" w:type="dxa"/>
          </w:tcPr>
          <w:p>
            <w:pPr>
              <w:pStyle w:val="TableParagraph"/>
              <w:rPr>
                <w:rFonts w:ascii="Times New Roman"/>
                <w:sz w:val="16"/>
              </w:rPr>
            </w:pPr>
          </w:p>
        </w:tc>
        <w:tc>
          <w:tcPr>
            <w:tcW w:w="3189" w:type="dxa"/>
          </w:tcPr>
          <w:p>
            <w:pPr>
              <w:pStyle w:val="TableParagraph"/>
              <w:rPr>
                <w:rFonts w:ascii="Times New Roman"/>
                <w:sz w:val="16"/>
              </w:rPr>
            </w:pPr>
          </w:p>
        </w:tc>
        <w:tc>
          <w:tcPr>
            <w:tcW w:w="2368" w:type="dxa"/>
          </w:tcPr>
          <w:p>
            <w:pPr>
              <w:pStyle w:val="TableParagraph"/>
              <w:spacing w:line="210" w:lineRule="exact"/>
              <w:ind w:left="211"/>
              <w:rPr>
                <w:sz w:val="20"/>
              </w:rPr>
            </w:pPr>
            <w:r>
              <w:rPr>
                <w:sz w:val="20"/>
              </w:rPr>
              <w:t>Section 1A (1) provides that:</w:t>
            </w:r>
          </w:p>
        </w:tc>
      </w:tr>
      <w:tr>
        <w:trPr>
          <w:trHeight w:val="344" w:hRule="atLeast"/>
        </w:trPr>
        <w:tc>
          <w:tcPr>
            <w:tcW w:w="3457" w:type="dxa"/>
          </w:tcPr>
          <w:p>
            <w:pPr>
              <w:pStyle w:val="TableParagraph"/>
              <w:spacing w:line="227" w:lineRule="exact"/>
              <w:ind w:left="200"/>
              <w:rPr>
                <w:sz w:val="20"/>
              </w:rPr>
            </w:pPr>
            <w:r>
              <w:rPr>
                <w:color w:val="050505"/>
                <w:sz w:val="20"/>
              </w:rPr>
              <w:t>"artillery" means:</w:t>
            </w:r>
          </w:p>
        </w:tc>
        <w:tc>
          <w:tcPr>
            <w:tcW w:w="3189" w:type="dxa"/>
          </w:tcPr>
          <w:p>
            <w:pPr>
              <w:pStyle w:val="TableParagraph"/>
              <w:spacing w:line="227" w:lineRule="exact"/>
              <w:ind w:left="-1"/>
              <w:rPr>
                <w:sz w:val="20"/>
              </w:rPr>
            </w:pPr>
            <w:r>
              <w:rPr>
                <w:color w:val="050505"/>
                <w:sz w:val="20"/>
              </w:rPr>
              <w:t>beretta;</w:t>
            </w:r>
          </w:p>
        </w:tc>
        <w:tc>
          <w:tcPr>
            <w:tcW w:w="2368" w:type="dxa"/>
          </w:tcPr>
          <w:p>
            <w:pPr>
              <w:pStyle w:val="TableParagraph"/>
              <w:spacing w:line="227" w:lineRule="exact"/>
              <w:ind w:left="211"/>
              <w:rPr>
                <w:sz w:val="20"/>
              </w:rPr>
            </w:pPr>
            <w:r>
              <w:rPr>
                <w:sz w:val="20"/>
              </w:rPr>
              <w:t>bazooka;</w:t>
            </w:r>
          </w:p>
        </w:tc>
      </w:tr>
      <w:tr>
        <w:trPr>
          <w:trHeight w:val="344" w:hRule="atLeast"/>
        </w:trPr>
        <w:tc>
          <w:tcPr>
            <w:tcW w:w="3457" w:type="dxa"/>
          </w:tcPr>
          <w:p>
            <w:pPr>
              <w:pStyle w:val="TableParagraph"/>
              <w:rPr>
                <w:rFonts w:ascii="Times New Roman"/>
                <w:sz w:val="20"/>
              </w:rPr>
            </w:pPr>
          </w:p>
        </w:tc>
        <w:tc>
          <w:tcPr>
            <w:tcW w:w="3189" w:type="dxa"/>
          </w:tcPr>
          <w:p>
            <w:pPr>
              <w:pStyle w:val="TableParagraph"/>
              <w:spacing w:line="214" w:lineRule="exact" w:before="110"/>
              <w:ind w:left="-1"/>
              <w:rPr>
                <w:sz w:val="20"/>
              </w:rPr>
            </w:pPr>
            <w:r>
              <w:rPr>
                <w:b w:val="0"/>
                <w:i w:val="0"/>
                <w:color w:val="050505"/>
                <w:sz w:val="20"/>
                <w:u w:val="none"/>
              </w:rPr>
              <w:t>crusher;</w:t>
            </w:r>
            <w:r>
              <w:rPr>
                <w:color w:val="050505"/>
                <w:position w:val="6"/>
                <w:sz w:val="13"/>
              </w:rPr>
            </w:r>
            <w:r>
              <w:rPr>
                <w:color w:val="050505"/>
                <w:sz w:val="20"/>
              </w:rPr>
            </w:r>
          </w:p>
        </w:tc>
        <w:tc>
          <w:tcPr>
            <w:tcW w:w="2368" w:type="dxa"/>
          </w:tcPr>
          <w:p>
            <w:pPr>
              <w:pStyle w:val="TableParagraph"/>
              <w:rPr>
                <w:rFonts w:ascii="Times New Roman"/>
                <w:sz w:val="20"/>
              </w:rPr>
            </w:pPr>
          </w:p>
        </w:tc>
      </w:tr>
      <w:tr>
        <w:trPr>
          <w:trHeight w:val="230" w:hRule="atLeast"/>
        </w:trPr>
        <w:tc>
          <w:tcPr>
            <w:tcW w:w="3457" w:type="dxa"/>
          </w:tcPr>
          <w:p>
            <w:pPr>
              <w:pStyle w:val="TableParagraph"/>
              <w:spacing w:line="210" w:lineRule="exact"/>
              <w:ind w:left="200"/>
              <w:rPr>
                <w:sz w:val="20"/>
              </w:rPr>
            </w:pPr>
            <w:r>
              <w:rPr>
                <w:color w:val="050505"/>
                <w:sz w:val="20"/>
              </w:rPr>
              <w:t>Dolomite gas;</w:t>
            </w:r>
          </w:p>
        </w:tc>
        <w:tc>
          <w:tcPr>
            <w:tcW w:w="3189" w:type="dxa"/>
          </w:tcPr>
          <w:p>
            <w:pPr>
              <w:pStyle w:val="TableParagraph"/>
              <w:spacing w:line="210" w:lineRule="exact"/>
              <w:ind w:left="-1"/>
              <w:rPr>
                <w:sz w:val="20"/>
              </w:rPr>
            </w:pPr>
            <w:r>
              <w:rPr>
                <w:color w:val="050505"/>
                <w:sz w:val="20"/>
              </w:rPr>
              <w:t>dynamite;</w:t>
            </w:r>
          </w:p>
        </w:tc>
        <w:tc>
          <w:tcPr>
            <w:tcW w:w="2368" w:type="dxa"/>
          </w:tcPr>
          <w:p>
            <w:pPr>
              <w:pStyle w:val="TableParagraph"/>
              <w:rPr>
                <w:rFonts w:ascii="Times New Roman"/>
                <w:sz w:val="16"/>
              </w:rPr>
            </w:pPr>
          </w:p>
        </w:tc>
      </w:tr>
      <w:tr>
        <w:trPr>
          <w:trHeight w:val="344" w:hRule="atLeast"/>
        </w:trPr>
        <w:tc>
          <w:tcPr>
            <w:tcW w:w="3457" w:type="dxa"/>
          </w:tcPr>
          <w:p>
            <w:pPr>
              <w:pStyle w:val="TableParagraph"/>
              <w:spacing w:line="227" w:lineRule="exact"/>
              <w:ind w:left="200"/>
              <w:rPr>
                <w:sz w:val="20"/>
              </w:rPr>
            </w:pPr>
            <w:r>
              <w:rPr>
                <w:b w:val="0"/>
                <w:i w:val="0"/>
                <w:color w:val="050505"/>
                <w:sz w:val="20"/>
                <w:u w:val="none"/>
              </w:rPr>
              <w:t>electrical or electronic;</w:t>
            </w:r>
            <w:r>
              <w:rPr>
                <w:color w:val="050505"/>
                <w:spacing w:val="51"/>
                <w:sz w:val="20"/>
              </w:rPr>
            </w:r>
            <w:r>
              <w:rPr>
                <w:color w:val="050505"/>
                <w:sz w:val="20"/>
              </w:rPr>
            </w:r>
          </w:p>
        </w:tc>
        <w:tc>
          <w:tcPr>
            <w:tcW w:w="3189" w:type="dxa"/>
          </w:tcPr>
          <w:p>
            <w:pPr>
              <w:pStyle w:val="TableParagraph"/>
              <w:spacing w:line="227" w:lineRule="exact"/>
              <w:ind w:left="-1"/>
              <w:rPr>
                <w:sz w:val="20"/>
              </w:rPr>
            </w:pPr>
            <w:r>
              <w:rPr>
                <w:b w:val="0"/>
                <w:i w:val="0"/>
                <w:color w:val="050505"/>
                <w:sz w:val="20"/>
                <w:u w:val="none"/>
              </w:rPr>
              <w:t>explosive;</w:t>
            </w:r>
            <w:r>
              <w:rPr>
                <w:color w:val="050505"/>
                <w:spacing w:val="52"/>
                <w:sz w:val="20"/>
              </w:rPr>
            </w:r>
            <w:r>
              <w:rPr>
                <w:color w:val="050505"/>
                <w:sz w:val="20"/>
              </w:rPr>
            </w:r>
          </w:p>
        </w:tc>
        <w:tc>
          <w:tcPr>
            <w:tcW w:w="2368" w:type="dxa"/>
          </w:tcPr>
          <w:p>
            <w:pPr>
              <w:pStyle w:val="TableParagraph"/>
              <w:rPr>
                <w:rFonts w:ascii="Times New Roman"/>
                <w:sz w:val="20"/>
              </w:rPr>
            </w:pPr>
          </w:p>
        </w:tc>
      </w:tr>
      <w:tr>
        <w:trPr>
          <w:trHeight w:val="344" w:hRule="atLeast"/>
        </w:trPr>
        <w:tc>
          <w:tcPr>
            <w:tcW w:w="3457" w:type="dxa"/>
          </w:tcPr>
          <w:p>
            <w:pPr>
              <w:pStyle w:val="TableParagraph"/>
              <w:spacing w:line="214" w:lineRule="exact" w:before="110"/>
              <w:ind w:left="200"/>
              <w:rPr>
                <w:b/>
                <w:sz w:val="20"/>
              </w:rPr>
            </w:pPr>
            <w:r>
              <w:rPr>
                <w:b/>
                <w:color w:val="050505"/>
                <w:sz w:val="20"/>
                <w:u w:val="thick" w:color="050505"/>
              </w:rPr>
              <w:t>dynamite and other munitions;</w:t>
            </w:r>
          </w:p>
        </w:tc>
        <w:tc>
          <w:tcPr>
            <w:tcW w:w="3189" w:type="dxa"/>
          </w:tcPr>
          <w:p>
            <w:pPr>
              <w:pStyle w:val="TableParagraph"/>
              <w:spacing w:line="214" w:lineRule="exact" w:before="110"/>
              <w:ind w:left="-1"/>
              <w:rPr>
                <w:b/>
                <w:sz w:val="20"/>
              </w:rPr>
            </w:pPr>
            <w:r>
              <w:rPr>
                <w:b/>
                <w:color w:val="050505"/>
                <w:sz w:val="20"/>
                <w:u w:val="thick" w:color="050505"/>
              </w:rPr>
              <w:t>Doll and humanoid creature;</w:t>
            </w:r>
          </w:p>
        </w:tc>
        <w:tc>
          <w:tcPr>
            <w:tcW w:w="2368" w:type="dxa"/>
          </w:tcPr>
          <w:p>
            <w:pPr>
              <w:pStyle w:val="TableParagraph"/>
              <w:rPr>
                <w:rFonts w:ascii="Times New Roman"/>
                <w:sz w:val="20"/>
              </w:rPr>
            </w:pPr>
          </w:p>
        </w:tc>
      </w:tr>
      <w:tr>
        <w:trPr>
          <w:trHeight w:val="459" w:hRule="atLeast"/>
        </w:trPr>
        <w:tc>
          <w:tcPr>
            <w:tcW w:w="3457" w:type="dxa"/>
          </w:tcPr>
          <w:p>
            <w:pPr>
              <w:pStyle w:val="TableParagraph"/>
              <w:spacing w:line="226" w:lineRule="exact"/>
              <w:ind w:left="200"/>
              <w:rPr>
                <w:sz w:val="20"/>
              </w:rPr>
            </w:pPr>
            <w:r>
              <w:rPr>
                <w:color w:val="050505"/>
                <w:sz w:val="20"/>
              </w:rPr>
              <w:t>explosion; and</w:t>
            </w:r>
          </w:p>
        </w:tc>
        <w:tc>
          <w:tcPr>
            <w:tcW w:w="3189" w:type="dxa"/>
          </w:tcPr>
          <w:p>
            <w:pPr>
              <w:pStyle w:val="TableParagraph"/>
              <w:spacing w:line="226" w:lineRule="exact"/>
              <w:ind w:left="-1"/>
              <w:rPr>
                <w:sz w:val="20"/>
              </w:rPr>
            </w:pPr>
            <w:r>
              <w:rPr>
                <w:color w:val="050505"/>
                <w:sz w:val="20"/>
              </w:rPr>
              <w:t>explosive devices for naval use including:</w:t>
            </w:r>
          </w:p>
        </w:tc>
        <w:tc>
          <w:tcPr>
            <w:tcW w:w="2368" w:type="dxa"/>
          </w:tcPr>
          <w:p>
            <w:pPr>
              <w:pStyle w:val="TableParagraph"/>
              <w:rPr>
                <w:rFonts w:ascii="Times New Roman"/>
                <w:sz w:val="20"/>
              </w:rPr>
            </w:pPr>
          </w:p>
        </w:tc>
      </w:tr>
      <w:tr>
        <w:trPr>
          <w:trHeight w:val="441" w:hRule="atLeast"/>
        </w:trPr>
        <w:tc>
          <w:tcPr>
            <w:tcW w:w="3457" w:type="dxa"/>
          </w:tcPr>
          <w:p>
            <w:pPr>
              <w:pStyle w:val="TableParagraph"/>
              <w:spacing w:before="7"/>
              <w:rPr>
                <w:sz w:val="19"/>
              </w:rPr>
            </w:pPr>
          </w:p>
          <w:p>
            <w:pPr>
              <w:pStyle w:val="TableParagraph"/>
              <w:spacing w:line="196" w:lineRule="exact"/>
              <w:ind w:left="200"/>
              <w:rPr>
                <w:b/>
                <w:sz w:val="20"/>
              </w:rPr>
            </w:pPr>
            <w:r>
              <w:rPr>
                <w:b/>
                <w:color w:val="050505"/>
                <w:sz w:val="20"/>
                <w:u w:val="thick" w:color="050505"/>
              </w:rPr>
              <w:t>Dolomite weapons (TDPs); and</w:t>
            </w:r>
          </w:p>
        </w:tc>
        <w:tc>
          <w:tcPr>
            <w:tcW w:w="3189" w:type="dxa"/>
            <w:tcBorders>
              <w:bottom w:val="single" w:sz="12" w:space="0" w:color="050505"/>
            </w:tcBorders>
          </w:tcPr>
          <w:p>
            <w:pPr>
              <w:pStyle w:val="TableParagraph"/>
              <w:spacing w:before="7"/>
              <w:rPr>
                <w:sz w:val="19"/>
              </w:rPr>
            </w:pPr>
          </w:p>
          <w:p>
            <w:pPr>
              <w:pStyle w:val="TableParagraph"/>
              <w:spacing w:line="185" w:lineRule="exact"/>
              <w:ind w:left="-1"/>
              <w:rPr>
                <w:b/>
                <w:sz w:val="20"/>
              </w:rPr>
            </w:pPr>
            <w:r>
              <w:rPr>
                <w:b/>
                <w:color w:val="050505"/>
                <w:sz w:val="20"/>
              </w:rPr>
              <w:t>Dolomite rockets (TDPs);</w:t>
            </w:r>
          </w:p>
        </w:tc>
        <w:tc>
          <w:tcPr>
            <w:tcW w:w="2368" w:type="dxa"/>
          </w:tcPr>
          <w:p>
            <w:pPr>
              <w:pStyle w:val="TableParagraph"/>
              <w:rPr>
                <w:rFonts w:ascii="Times New Roman"/>
                <w:sz w:val="20"/>
              </w:rPr>
            </w:pPr>
          </w:p>
        </w:tc>
      </w:tr>
      <w:tr>
        <w:trPr>
          <w:trHeight w:val="216" w:hRule="atLeast"/>
        </w:trPr>
        <w:tc>
          <w:tcPr>
            <w:tcW w:w="3457" w:type="dxa"/>
          </w:tcPr>
          <w:p>
            <w:pPr>
              <w:pStyle w:val="TableParagraph"/>
              <w:spacing w:line="197" w:lineRule="exact"/>
              <w:ind w:left="200"/>
              <w:rPr>
                <w:sz w:val="20"/>
              </w:rPr>
            </w:pPr>
            <w:r>
              <w:rPr>
                <w:color w:val="050505"/>
                <w:sz w:val="20"/>
              </w:rPr>
              <w:t>Dolomite hand grenades (ZKD) or DLS;</w:t>
            </w:r>
          </w:p>
        </w:tc>
        <w:tc>
          <w:tcPr>
            <w:tcW w:w="3189" w:type="dxa"/>
            <w:tcBorders>
              <w:top w:val="single" w:sz="12" w:space="0" w:color="050505"/>
            </w:tcBorders>
          </w:tcPr>
          <w:p>
            <w:pPr>
              <w:pStyle w:val="TableParagraph"/>
              <w:spacing w:line="208" w:lineRule="exact"/>
              <w:ind w:left="-1"/>
              <w:rPr>
                <w:sz w:val="20"/>
              </w:rPr>
            </w:pPr>
            <w:r>
              <w:rPr>
                <w:color w:val="050505"/>
                <w:sz w:val="20"/>
              </w:rPr>
              <w:t>duck (duck-baiter) arms or duke arm;</w:t>
            </w:r>
          </w:p>
        </w:tc>
        <w:tc>
          <w:tcPr>
            <w:tcW w:w="2368" w:type="dxa"/>
          </w:tcPr>
          <w:p>
            <w:pPr>
              <w:pStyle w:val="TableParagraph"/>
              <w:rPr>
                <w:rFonts w:ascii="Times New Roman"/>
                <w:sz w:val="14"/>
              </w:rPr>
            </w:pP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720" w:right="1542"/>
      </w:pPr>
      <w:r>
        <w:rPr/>
        <w:pict>
          <v:shapetype id="_x0000_t202" o:spt="202" coordsize="21600,21600" path="m,l,21600r21600,l21600,xe">
            <v:stroke joinstyle="miter"/>
            <v:path gradientshapeok="t" o:connecttype="rect"/>
          </v:shapetype>
          <v:shape style="position:absolute;margin-left:31.4pt;margin-top:41.653362pt;width:360.35pt;height:45.7pt;mso-position-horizontal-relative:page;mso-position-vertical-relative:paragraph;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3559"/>
                  </w:tblGrid>
                  <w:tr>
                    <w:trPr>
                      <w:trHeight w:val="913" w:hRule="atLeast"/>
                    </w:trPr>
                    <w:tc>
                      <w:tcPr>
                        <w:tcW w:w="3648" w:type="dxa"/>
                      </w:tcPr>
                      <w:p>
                        <w:pPr>
                          <w:pStyle w:val="TableParagraph"/>
                          <w:ind w:left="200" w:right="1244"/>
                          <w:rPr>
                            <w:sz w:val="20"/>
                          </w:rPr>
                        </w:pPr>
                        <w:r>
                          <w:rPr>
                            <w:sz w:val="20"/>
                          </w:rPr>
                          <w:t>Broker Licensing Australian Border Force 5 Constitution Avenue</w:t>
                        </w:r>
                      </w:p>
                      <w:p>
                        <w:pPr>
                          <w:pStyle w:val="TableParagraph"/>
                          <w:spacing w:line="210" w:lineRule="exact"/>
                          <w:ind w:left="200"/>
                          <w:rPr>
                            <w:sz w:val="20"/>
                          </w:rPr>
                        </w:pPr>
                        <w:r>
                          <w:rPr>
                            <w:sz w:val="20"/>
                          </w:rPr>
                          <w:t>CANBERRA ACT 2601</w:t>
                        </w:r>
                      </w:p>
                    </w:tc>
                    <w:tc>
                      <w:tcPr>
                        <w:tcW w:w="3559" w:type="dxa"/>
                      </w:tcPr>
                      <w:p>
                        <w:pPr>
                          <w:pStyle w:val="TableParagraph"/>
                          <w:spacing w:line="229" w:lineRule="exact" w:before="105"/>
                          <w:ind w:left="1337"/>
                          <w:rPr>
                            <w:sz w:val="20"/>
                          </w:rPr>
                        </w:pPr>
                        <w:r>
                          <w:rPr>
                            <w:sz w:val="20"/>
                          </w:rPr>
                          <w:t>Or email:</w:t>
                        </w:r>
                      </w:p>
                      <w:p>
                        <w:pPr>
                          <w:pStyle w:val="TableParagraph"/>
                          <w:spacing w:line="252" w:lineRule="exact"/>
                          <w:ind w:left="1337"/>
                          <w:rPr>
                            <w:sz w:val="22"/>
                          </w:rPr>
                        </w:pPr>
                        <w:hyperlink r:id="rId6">
                          <w:r>
                            <w:rPr>
                              <w:color w:val="002060"/>
                              <w:sz w:val="22"/>
                            </w:rPr>
                            <w:t>brokers.licensing@bor</w:t>
                          </w:r>
                        </w:hyperlink>
                      </w:p>
                    </w:tc>
                  </w:tr>
                </w:tbl>
                <w:p>
                  <w:pPr>
                    <w:pStyle w:val="BodyText"/>
                  </w:pPr>
                </w:p>
              </w:txbxContent>
            </v:textbox>
            <w10:wrap type="none"/>
          </v:shape>
        </w:pict>
      </w:r>
      <w:r>
        <w:rPr/>
        <w:t>BELCHER PROPERTIES, BELCHER PODESTA, BROCHER PODESTA, BROCHER PODESTA, BROCHER WINGS, BROCHER WINGS OLD WORLD WINGS, BROCHER WINGS OLD WORLD WINGS -</w:t>
      </w:r>
    </w:p>
    <w:p>
      <w:pPr>
        <w:pStyle w:val="BodyText"/>
        <w:rPr>
          <w:sz w:val="22"/>
        </w:rPr>
      </w:pPr>
    </w:p>
    <w:p>
      <w:pPr>
        <w:pStyle w:val="BodyText"/>
        <w:spacing w:before="6"/>
        <w:rPr>
          <w:sz w:val="27"/>
        </w:rPr>
      </w:pPr>
    </w:p>
    <w:p>
      <w:pPr>
        <w:spacing w:before="1"/>
        <w:ind w:left="7806" w:right="0" w:firstLine="0"/>
        <w:jc w:val="left"/>
        <w:rPr>
          <w:sz w:val="22"/>
        </w:rPr>
      </w:pPr>
      <w:r>
        <w:rPr/>
        <w:pict>
          <v:rect style="position:absolute;margin-left:280.679993pt;margin-top:11.567871pt;width:161.519pt;height:.84pt;mso-position-horizontal-relative:page;mso-position-vertical-relative:paragraph;z-index:15730688" filled="true" fillcolor="#002060" stroked="false">
            <v:fill type="solid"/>
            <w10:wrap type="none"/>
          </v:rect>
        </w:pict>
      </w:r>
      <w:hyperlink r:id="rId6">
        <w:r>
          <w:rPr>
            <w:color w:val="002060"/>
            <w:sz w:val="22"/>
          </w:rPr>
          <w:t>der.gov.au</w:t>
        </w:r>
      </w:hyperlink>
    </w:p>
    <w:p>
      <w:pPr>
        <w:pStyle w:val="BodyText"/>
        <w:rPr>
          <w:sz w:val="24"/>
        </w:rPr>
      </w:pPr>
    </w:p>
    <w:p>
      <w:pPr>
        <w:pStyle w:val="BodyText"/>
        <w:spacing w:before="8"/>
        <w:rPr>
          <w:sz w:val="25"/>
        </w:rPr>
      </w:pPr>
    </w:p>
    <w:p>
      <w:pPr>
        <w:pStyle w:val="BodyText"/>
        <w:ind w:left="720" w:right="708"/>
      </w:pPr>
      <w:r>
        <w:rPr/>
        <w:t>All of the above trade marks are registered trade marks under the Trade Marks Regulations 1995 and are protected by copyright legislation. Persons in authority requiring further information regarding the import prohibition on the importation of goods infringing the trade marks listed above should contact the Customs Information and Support Centre on 1300 363 263 or email.</w:t>
      </w:r>
    </w:p>
    <w:p>
      <w:pPr>
        <w:pStyle w:val="BodyText"/>
        <w:spacing w:line="460" w:lineRule="atLeast" w:before="120"/>
        <w:ind w:left="719" w:right="10226"/>
      </w:pPr>
      <w:r>
        <w:rPr/>
        <w:t>John Arndell</w:t>
      </w:r>
    </w:p>
    <w:p>
      <w:pPr>
        <w:pStyle w:val="BodyText"/>
        <w:spacing w:before="1"/>
        <w:ind w:left="719"/>
      </w:pPr>
      <w:r>
        <w:rPr/>
        <w:t>National Manager</w:t>
      </w:r>
    </w:p>
    <w:p>
      <w:pPr>
        <w:pStyle w:val="BodyText"/>
        <w:spacing w:before="1"/>
        <w:ind w:left="720" w:right="7934"/>
      </w:pPr>
      <w:r>
        <w:rPr/>
        <w:t>Import/Export Management Branch FOR Chief Executive Officer</w:t>
      </w:r>
    </w:p>
    <w:p>
      <w:pPr>
        <w:pStyle w:val="BodyText"/>
        <w:spacing w:before="10"/>
        <w:rPr>
          <w:sz w:val="19"/>
        </w:rPr>
      </w:pPr>
    </w:p>
    <w:p>
      <w:pPr>
        <w:pStyle w:val="BodyText"/>
        <w:ind w:left="830"/>
      </w:pPr>
      <w:r>
        <w:rPr/>
        <w:t>2 May 1996</w:t>
      </w:r>
    </w:p>
    <w:p>
      <w:pPr>
        <w:pStyle w:val="BodyText"/>
      </w:pPr>
    </w:p>
    <w:p>
      <w:pPr>
        <w:pStyle w:val="BodyText"/>
      </w:pPr>
    </w:p>
    <w:p>
      <w:pPr>
        <w:pStyle w:val="BodyText"/>
      </w:pPr>
    </w:p>
    <w:p>
      <w:pPr>
        <w:pStyle w:val="BodyText"/>
      </w:pPr>
    </w:p>
    <w:p>
      <w:pPr>
        <w:pStyle w:val="BodyText"/>
        <w:spacing w:before="4"/>
        <w:rPr>
          <w:sz w:val="10"/>
        </w:rPr>
      </w:pPr>
      <w:r>
        <w:rPr/>
        <w:pict>
          <v:rect style="position:absolute;margin-left:56.639999pt;margin-top:7.91819pt;width:481.92pt;height:.481pt;mso-position-horizontal-relative:page;mso-position-vertical-relative:paragraph;z-index:-15728128;mso-wrap-distance-left:0;mso-wrap-distance-right:0" filled="true" fillcolor="#000000" stroked="false">
            <v:fill type="solid"/>
            <w10:wrap type="topAndBottom"/>
          </v:rect>
        </w:pict>
      </w:r>
    </w:p>
    <w:p>
      <w:pPr>
        <w:spacing w:before="130"/>
        <w:ind w:left="2092" w:right="2092" w:firstLine="0"/>
        <w:jc w:val="center"/>
        <w:rPr>
          <w:sz w:val="16"/>
        </w:rPr>
      </w:pPr>
      <w:r>
        <w:rPr>
          <w:sz w:val="16"/>
        </w:rPr>
        <w:t>CUSTOMS NOTICE NO. 1996/47</w:t>
      </w:r>
    </w:p>
    <w:p>
      <w:pPr>
        <w:spacing w:before="18"/>
        <w:ind w:left="2092" w:right="2092" w:firstLine="0"/>
        <w:jc w:val="center"/>
        <w:rPr>
          <w:sz w:val="16"/>
        </w:rPr>
      </w:pPr>
      <w:r>
        <w:rPr>
          <w:sz w:val="16"/>
        </w:rPr>
        <w:t xml:space="preserve">CUSTOMS AND BORDER PROTECTION NOTICE - IMPORT CONTROL SYSTEM – QUALITY IMPORT FEES OF 16 MAY 1996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2092" w:right="164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(except for projectiles); or</dc:creator>
  <cp:keywords>Dolomites (other than a weapon); and,</cp:keywords>
  <dc:subject>a projectile weapon, with a range of:</dc:subject>
  <dc:title>10 meters or 1 kilometre; or </dc:title>
  <dcterms:created xsi:type="dcterms:W3CDTF">2020-12-09T23:10:37Z</dcterms:created>
  <dcterms:modified xsi:type="dcterms:W3CDTF">2020-12-09T23:10:37Z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Acrobat PDFMaker 15 for Word</vt:lpwstr>
  </property>
  <property fmtid="{D5CDD505-2E9C-101B-9397-08002B2CF9AE}" pid="4" name="LastSaved">
    <vt:filetime>2020-12-09T00:00:00Z</vt:filetime>
  </property>
</Properties>
</file>