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1"/>
        </w:rPr>
      </w:pPr>
    </w:p>
    <w:p>
      <w:pPr>
        <w:pStyle w:val="Title"/>
        <w:spacing w:line="379" w:lineRule="auto"/>
      </w:pPr>
      <w:r>
        <w:rPr/>
        <w:pict>
          <v:group style="position:absolute;margin-left:0pt;margin-top:-150.674805pt;width:594.85pt;height:116pt;mso-position-horizontal-relative:page;mso-position-vertical-relative:paragraph;z-index:15728640" coordorigin="0,-3013" coordsize="11897,2320">
            <v:shape style="position:absolute;left:0;top:-3014;width:11897;height:2320" type="#_x0000_t75" stroked="false">
              <v:imagedata r:id="rId5" o:title=""/>
            </v:shape>
            <v:shape style="position:absolute;left:679;top:-2336;width:1368;height:1015" type="#_x0000_t75" stroked="false">
              <v:imagedata r:id="rId6" o:title=""/>
            </v:shape>
            <v:line style="position:absolute" from="2173,-1698" to="5096,-1698" stroked="true" strokeweight=".748494pt" strokecolor="#ffffff">
              <v:stroke dashstyle="solid"/>
            </v:line>
            <v:shapetype id="_x0000_t202" o:spt="202" coordsize="21600,21600" path="m,l,21600r21600,l21600,xe">
              <v:stroke joinstyle="miter"/>
              <v:path gradientshapeok="t" o:connecttype="rect"/>
            </v:shapetype>
            <v:shape style="position:absolute;left:0;top:-3014;width:11897;height:2320" type="#_x0000_t202" filled="false" stroked="false">
              <v:textbox inset="0,0,0,0">
                <w:txbxContent>
                  <w:p>
                    <w:pPr>
                      <w:spacing w:line="240" w:lineRule="auto" w:before="0"/>
                      <w:rPr>
                        <w:sz w:val="28"/>
                      </w:rPr>
                    </w:pPr>
                  </w:p>
                  <w:p>
                    <w:pPr>
                      <w:spacing w:line="240" w:lineRule="auto" w:before="0"/>
                      <w:rPr>
                        <w:sz w:val="28"/>
                      </w:rPr>
                    </w:pPr>
                  </w:p>
                  <w:p>
                    <w:pPr>
                      <w:spacing w:line="240" w:lineRule="auto" w:before="10"/>
                      <w:rPr>
                        <w:sz w:val="25"/>
                      </w:rPr>
                    </w:pPr>
                  </w:p>
                  <w:p>
                    <w:pPr>
                      <w:spacing w:line="369" w:lineRule="auto" w:before="0"/>
                      <w:ind w:left="2158" w:right="6074" w:firstLine="0"/>
                      <w:jc w:val="left"/>
                      <w:rPr>
                        <w:rFonts w:ascii="Times New Roman"/>
                        <w:b/>
                        <w:sz w:val="26"/>
                      </w:rPr>
                    </w:pPr>
                    <w:r>
                      <w:rPr>
                        <w:rFonts w:ascii="Times New Roman"/>
                        <w:b/>
                        <w:color w:val="FFFFFF"/>
                        <w:spacing w:val="-9"/>
                        <w:sz w:val="26"/>
                      </w:rPr>
                      <w:t>Australian </w:t>
                    </w:r>
                    <w:r>
                      <w:rPr>
                        <w:rFonts w:ascii="Times New Roman"/>
                        <w:b/>
                        <w:color w:val="FFFFFF"/>
                        <w:spacing w:val="-11"/>
                        <w:sz w:val="26"/>
                      </w:rPr>
                      <w:t>Government </w:t>
                    </w:r>
                    <w:r>
                      <w:rPr>
                        <w:rFonts w:ascii="Times New Roman"/>
                        <w:b/>
                        <w:color w:val="FFFFFF"/>
                        <w:spacing w:val="-10"/>
                        <w:sz w:val="26"/>
                      </w:rPr>
                      <w:t>Department </w:t>
                    </w:r>
                    <w:r>
                      <w:rPr>
                        <w:rFonts w:ascii="Times New Roman"/>
                        <w:b/>
                        <w:color w:val="FFFFFF"/>
                        <w:spacing w:val="-6"/>
                        <w:sz w:val="26"/>
                      </w:rPr>
                      <w:t>of </w:t>
                    </w:r>
                    <w:r>
                      <w:rPr>
                        <w:rFonts w:ascii="Times New Roman"/>
                        <w:b/>
                        <w:color w:val="FFFFFF"/>
                        <w:spacing w:val="-10"/>
                        <w:sz w:val="26"/>
                      </w:rPr>
                      <w:t>Home </w:t>
                    </w:r>
                    <w:r>
                      <w:rPr>
                        <w:rFonts w:ascii="Times New Roman"/>
                        <w:b/>
                        <w:color w:val="FFFFFF"/>
                        <w:spacing w:val="-9"/>
                        <w:sz w:val="26"/>
                      </w:rPr>
                      <w:t>Affairs</w:t>
                    </w:r>
                  </w:p>
                </w:txbxContent>
              </v:textbox>
              <w10:wrap type="none"/>
            </v:shape>
            <w10:wrap type="none"/>
          </v:group>
        </w:pict>
      </w:r>
      <w:r>
        <w:rPr>
          <w:color w:val="034EA1"/>
        </w:rPr>
        <w:t>Australian Customs Notice 1997 55</w:t>
      </w:r>
    </w:p>
    <w:p>
      <w:pPr>
        <w:spacing w:line="261" w:lineRule="auto" w:before="0"/>
        <w:ind w:left="1133" w:right="1982" w:firstLine="0"/>
        <w:jc w:val="left"/>
        <w:rPr>
          <w:b/>
          <w:sz w:val="28"/>
        </w:rPr>
      </w:pPr>
      <w:r>
        <w:rPr>
          <w:b/>
          <w:sz w:val="28"/>
        </w:rPr>
        <w:t>NOTICE OF OBJECTION TO IMPORTATION TRADE MARKS ACT 1995</w:t>
      </w:r>
    </w:p>
    <w:p>
      <w:pPr>
        <w:pStyle w:val="BodyText"/>
        <w:spacing w:line="264" w:lineRule="auto" w:before="129"/>
        <w:ind w:left="1133" w:right="1300"/>
        <w:jc w:val="both"/>
      </w:pPr>
      <w:r>
        <w:rPr>
          <w:b w:val="0"/>
          <w:i w:val="0"/>
          <w:u w:val="none"/>
        </w:rPr>
        <w:t>The companies referred to in the attached Schedule have given notice under Section 132 of the Trade Marks Act 1995 objecting to the importation of the goods listed in the Schedule which have applied to them, or in relation to them, a sign which infringes the relevant trade mark/s. Unless revoked, these Notices of Objection remain in force for a period of two years from the commencement date shown for the particular trade mark.</w:t>
      </w:r>
      <w:r>
        <w:rPr>
          <w:spacing w:val="-4"/>
        </w:rPr>
      </w:r>
      <w:r>
        <w:rPr/>
      </w:r>
      <w:r>
        <w:rPr>
          <w:spacing w:val="-5"/>
        </w:rPr>
      </w:r>
      <w:r>
        <w:rPr/>
      </w:r>
      <w:r>
        <w:rPr>
          <w:spacing w:val="-1"/>
        </w:rPr>
      </w:r>
      <w:r>
        <w:rPr/>
      </w:r>
      <w:r>
        <w:rPr>
          <w:spacing w:val="-11"/>
        </w:rPr>
      </w:r>
      <w:r>
        <w:rPr/>
      </w:r>
      <w:r>
        <w:rPr>
          <w:spacing w:val="-4"/>
        </w:rPr>
      </w:r>
      <w:r>
        <w:rPr/>
      </w:r>
      <w:r>
        <w:rPr>
          <w:spacing w:val="2"/>
        </w:rPr>
      </w:r>
      <w:r>
        <w:rPr>
          <w:i/>
        </w:rPr>
      </w:r>
      <w:r>
        <w:rPr>
          <w:i/>
          <w:spacing w:val="-4"/>
        </w:rPr>
      </w:r>
      <w:r>
        <w:rPr>
          <w:i/>
        </w:rPr>
      </w:r>
      <w:r>
        <w:rPr>
          <w:i/>
          <w:spacing w:val="-6"/>
        </w:rPr>
      </w:r>
      <w:r>
        <w:rPr>
          <w:i/>
        </w:rPr>
      </w:r>
      <w:r>
        <w:rPr>
          <w:i/>
          <w:spacing w:val="-6"/>
        </w:rPr>
      </w:r>
      <w:r>
        <w:rPr>
          <w:i/>
        </w:rPr>
      </w:r>
      <w:r>
        <w:rPr/>
      </w:r>
      <w:r>
        <w:rPr>
          <w:spacing w:val="-8"/>
        </w:rPr>
      </w:r>
      <w:r>
        <w:rPr/>
      </w:r>
      <w:r>
        <w:rPr>
          <w:spacing w:val="-6"/>
        </w:rPr>
      </w:r>
      <w:r>
        <w:rPr/>
      </w:r>
      <w:r>
        <w:rPr>
          <w:spacing w:val="-18"/>
        </w:rPr>
      </w:r>
      <w:r>
        <w:rPr/>
      </w:r>
    </w:p>
    <w:p>
      <w:pPr>
        <w:pStyle w:val="BodyText"/>
        <w:spacing w:line="261" w:lineRule="auto" w:before="120"/>
        <w:ind w:left="1133" w:right="1267"/>
      </w:pPr>
      <w:r>
        <w:rPr>
          <w:b w:val="0"/>
          <w:i w:val="0"/>
          <w:u w:val="none"/>
        </w:rPr>
        <w:t>Copies of the relevant Notices of Objection have been forwarded to the Customs office in the capital city of each State and Territory. Importers, or their advisers, who require further information regarding the Notices of Objection, or Customs' role in regard to those Notices, should contact the Commerce Prohibitions and Restrictions Group in the Australian Customs Service Office in their nearest capital city.</w:t>
      </w:r>
      <w:r>
        <w:rPr>
          <w:i/>
        </w:rPr>
      </w:r>
      <w:r>
        <w:rPr/>
      </w:r>
    </w:p>
    <w:p>
      <w:pPr>
        <w:pStyle w:val="BodyText"/>
        <w:spacing w:line="264" w:lineRule="auto" w:before="131"/>
        <w:ind w:left="1133" w:right="1157"/>
      </w:pPr>
      <w:r>
        <w:rPr>
          <w:b w:val="0"/>
          <w:i w:val="0"/>
          <w:u w:val="none"/>
        </w:rPr>
        <w:t>Copies of the relevant Notices of Objection have also been forwarded to the Intellectual Property Rights Group, in the capital city of each State and Territory. Importers, or their advisers, who require further information regarding the Notices of Objection, or Customs' role in regard to those Notices, should contact the Intellectual Property Rights Group, in the capital city of each State and Territory.</w:t>
      </w:r>
      <w:r>
        <w:rPr>
          <w:spacing w:val="-3"/>
        </w:rPr>
      </w:r>
      <w:r>
        <w:rPr/>
      </w:r>
      <w:r>
        <w:rPr>
          <w:spacing w:val="-3"/>
        </w:rPr>
      </w:r>
      <w:r>
        <w:rPr/>
      </w:r>
      <w:r>
        <w:rPr>
          <w:spacing w:val="-3"/>
        </w:rPr>
      </w:r>
      <w:r>
        <w:rPr/>
      </w:r>
    </w:p>
    <w:p>
      <w:pPr>
        <w:pStyle w:val="BodyText"/>
        <w:spacing w:line="264" w:lineRule="auto" w:before="121"/>
        <w:ind w:left="1133" w:right="1707"/>
      </w:pPr>
      <w:r>
        <w:rPr>
          <w:b w:val="0"/>
          <w:i w:val="0"/>
          <w:u w:val="none"/>
        </w:rPr>
        <w:t>Copies of the Notices of Objection, or Customs' role in regard to those Notices, have also been forwarded to the CEO, Australian Customs Service, in the capital city of each State and Territory.</w:t>
      </w:r>
      <w:hyperlink r:id="rId7">
        <w:r>
          <w:rPr>
            <w:u w:val="single"/>
          </w:rPr>
          <w:t>http://www.defence.gov.au/ExportControls</w:t>
        </w:r>
      </w:hyperlink>
      <w:r>
        <w:rPr/>
      </w:r>
    </w:p>
    <w:p>
      <w:pPr>
        <w:pStyle w:val="BodyText"/>
        <w:rPr>
          <w:sz w:val="20"/>
        </w:rPr>
      </w:pPr>
    </w:p>
    <w:p>
      <w:pPr>
        <w:pStyle w:val="BodyText"/>
        <w:rPr>
          <w:sz w:val="20"/>
        </w:rPr>
      </w:pPr>
    </w:p>
    <w:p>
      <w:pPr>
        <w:pStyle w:val="BodyText"/>
        <w:spacing w:before="2"/>
        <w:rPr>
          <w:sz w:val="29"/>
        </w:rPr>
      </w:pPr>
    </w:p>
    <w:p>
      <w:pPr>
        <w:pStyle w:val="BodyText"/>
        <w:spacing w:before="93"/>
        <w:ind w:left="1133"/>
      </w:pPr>
      <w:r>
        <w:rPr/>
        <w:t>(Signed)</w:t>
      </w:r>
    </w:p>
    <w:p>
      <w:pPr>
        <w:pStyle w:val="BodyText"/>
        <w:rPr>
          <w:sz w:val="24"/>
        </w:rPr>
      </w:pPr>
    </w:p>
    <w:p>
      <w:pPr>
        <w:pStyle w:val="BodyText"/>
        <w:spacing w:before="2"/>
        <w:rPr>
          <w:sz w:val="19"/>
        </w:rPr>
      </w:pPr>
    </w:p>
    <w:p>
      <w:pPr>
        <w:pStyle w:val="BodyText"/>
        <w:ind w:left="1133"/>
      </w:pPr>
      <w:r>
        <w:rPr/>
        <w:t>Anthony Seebach</w:t>
      </w:r>
    </w:p>
    <w:p>
      <w:pPr>
        <w:pStyle w:val="BodyText"/>
        <w:spacing w:before="116"/>
        <w:ind w:left="1133"/>
      </w:pPr>
      <w:r>
        <w:rPr/>
        <w:t>A/g National Manager</w:t>
      </w:r>
    </w:p>
    <w:p>
      <w:pPr>
        <w:pStyle w:val="BodyText"/>
        <w:spacing w:line="355" w:lineRule="auto" w:before="122"/>
        <w:ind w:left="1133" w:right="7039"/>
      </w:pPr>
      <w:r>
        <w:rPr/>
        <w:t>Trade Policy and Regulation Branch CANBERRA ACT</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2"/>
      <w:szCs w:val="22"/>
      <w:lang w:val="en-au" w:eastAsia="en-US" w:bidi="ar-SA"/>
    </w:rPr>
  </w:style>
  <w:style w:styleId="Title" w:type="paragraph">
    <w:name w:val="Title"/>
    <w:basedOn w:val="Normal"/>
    <w:uiPriority w:val="1"/>
    <w:qFormat/>
    <w:pPr>
      <w:spacing w:before="88"/>
      <w:ind w:left="4744" w:right="1381" w:hanging="3280"/>
    </w:pPr>
    <w:rPr>
      <w:rFonts w:ascii="Arial" w:hAnsi="Arial" w:eastAsia="Arial" w:cs="Arial"/>
      <w:b/>
      <w:bCs/>
      <w:sz w:val="44"/>
      <w:szCs w:val="44"/>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defence.gov.au/ExportContr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 December 2009</dc:creator>
  <cp:keywords>Trade Marks Class Goods</cp:keywords>
  <dc:title>ACS – arrowhead breaks shield, inverted</dc:title>
  <dcterms:created xsi:type="dcterms:W3CDTF">2020-12-09T23:05:40Z</dcterms:created>
  <dcterms:modified xsi:type="dcterms:W3CDTF">2020-12-09T23:05:40Z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Microsoft® Word 2016</vt:lpwstr>
  </property>
  <property fmtid="{D5CDD505-2E9C-101B-9397-08002B2CF9AE}" pid="4" name="LastSaved">
    <vt:filetime>2020-12-09T00:00:00Z</vt:filetime>
  </property>
</Properties>
</file>