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sz w:val="19"/>
        </w:rPr>
      </w:pPr>
    </w:p>
    <w:p>
      <w:pPr>
        <w:pStyle w:val="Title"/>
        <w:spacing w:line="376" w:lineRule="auto"/>
      </w:pPr>
      <w:bookmarkStart w:name="DEPARTMENT OF HOME AFFAIRS NOTICE" w:id="1"/>
      <w:bookmarkEnd w:id="1"/>
      <w:r>
        <w:rPr>
          <w:b w:val="0"/>
        </w:rPr>
      </w:r>
      <w:r>
        <w:rPr>
          <w:color w:val="034EA2"/>
        </w:rPr>
        <w:t>Australian Customs Notice 1999 30</w:t>
      </w:r>
      <w:bookmarkStart w:name="No. 2018/32" w:id="2"/>
      <w:bookmarkEnd w:id="2"/>
      <w:r>
        <w:rPr>
          <w:color w:val="034EA2"/>
        </w:rPr>
      </w:r>
      <w:r>
        <w:rPr>
          <w:color w:val="034EA2"/>
        </w:rPr>
        <w:t xml:space="preserve"> ATTACHMENT 3</w:t>
      </w:r>
    </w:p>
    <w:p>
      <w:pPr>
        <w:spacing w:before="0"/>
        <w:ind w:left="1132" w:right="0" w:firstLine="0"/>
        <w:jc w:val="left"/>
        <w:rPr>
          <w:b/>
          <w:sz w:val="24"/>
        </w:rPr>
      </w:pPr>
      <w:r>
        <w:rPr>
          <w:b/>
          <w:sz w:val="24"/>
        </w:rPr>
        <w:t>REMOVAL OF THE PREVIOUSLY LICENCED IMMIGRATION SUBSTANCES AND ITEMS FROM THE AUSTRICAC BORDER FOR AUSTRALIA</w:t>
      </w:r>
    </w:p>
    <w:p>
      <w:pPr>
        <w:spacing w:before="146"/>
        <w:ind w:left="1132" w:right="0" w:firstLine="0"/>
        <w:jc w:val="left"/>
        <w:rPr>
          <w:sz w:val="20"/>
        </w:rPr>
      </w:pPr>
      <w:r>
        <w:rPr>
          <w:b w:val="0"/>
          <w:i w:val="0"/>
          <w:sz w:val="20"/>
          <w:u w:val="none"/>
        </w:rPr>
        <w:t>Commencement Date: 6 May 2010 File Ref: C06/10243</w:t>
      </w:r>
      <w:r>
        <w:rPr>
          <w:i/>
          <w:sz w:val="20"/>
        </w:rPr>
      </w:r>
      <w:r>
        <w:rPr>
          <w:sz w:val="20"/>
        </w:rPr>
      </w:r>
    </w:p>
    <w:p>
      <w:pPr>
        <w:spacing w:before="22"/>
        <w:ind w:left="1132" w:right="0" w:firstLine="0"/>
        <w:jc w:val="left"/>
        <w:rPr>
          <w:sz w:val="20"/>
        </w:rPr>
      </w:pPr>
      <w:r>
        <w:rPr>
          <w:b w:val="0"/>
          <w:i/>
          <w:sz w:val="20"/>
          <w:u w:val="none"/>
        </w:rPr>
        <w:t>The following companies and individuals have applied to the Comptroller-General of Customs for a Customs broker licence.</w:t>
      </w:r>
      <w:r>
        <w:rPr>
          <w:sz w:val="20"/>
        </w:rPr>
      </w:r>
    </w:p>
    <w:p>
      <w:pPr>
        <w:pStyle w:val="ListParagraph"/>
        <w:numPr>
          <w:ilvl w:val="0"/>
          <w:numId w:val="1"/>
        </w:numPr>
        <w:tabs>
          <w:tab w:pos="1416" w:val="left" w:leader="none"/>
        </w:tabs>
        <w:spacing w:line="264" w:lineRule="auto" w:before="147" w:after="0"/>
        <w:ind w:left="1415" w:right="1141" w:hanging="284"/>
        <w:jc w:val="left"/>
        <w:rPr>
          <w:sz w:val="20"/>
        </w:rPr>
      </w:pPr>
      <w:r>
        <w:rPr>
          <w:b w:val="0"/>
          <w:i w:val="0"/>
          <w:sz w:val="20"/>
          <w:u w:val="none"/>
        </w:rPr>
        <w:t>Any persons wishing to make written representation in respect of these applications should address the correspondence by Friday 22 May 2010 to:</w:t>
      </w:r>
      <w:r>
        <w:rPr>
          <w:spacing w:val="-4"/>
          <w:sz w:val="20"/>
        </w:rPr>
      </w:r>
      <w:r>
        <w:rPr>
          <w:sz w:val="20"/>
        </w:rPr>
      </w:r>
    </w:p>
    <w:p>
      <w:pPr>
        <w:pStyle w:val="ListParagraph"/>
        <w:numPr>
          <w:ilvl w:val="0"/>
          <w:numId w:val="1"/>
        </w:numPr>
        <w:tabs>
          <w:tab w:pos="1416" w:val="left" w:leader="none"/>
        </w:tabs>
        <w:spacing w:line="240" w:lineRule="auto" w:before="118" w:after="0"/>
        <w:ind w:left="1415" w:right="0" w:hanging="284"/>
        <w:jc w:val="left"/>
        <w:rPr>
          <w:sz w:val="20"/>
        </w:rPr>
      </w:pPr>
      <w:r>
        <w:rPr>
          <w:b w:val="0"/>
          <w:i w:val="0"/>
          <w:sz w:val="20"/>
          <w:u w:val="none"/>
        </w:rPr>
        <w:t>Brokers Licensing</w:t>
      </w:r>
      <w:r>
        <w:rPr>
          <w:spacing w:val="2"/>
          <w:sz w:val="20"/>
        </w:rPr>
      </w:r>
      <w:r>
        <w:rPr>
          <w:sz w:val="20"/>
        </w:rPr>
      </w:r>
      <w:r>
        <w:rPr>
          <w:spacing w:val="-14"/>
          <w:sz w:val="20"/>
        </w:rPr>
      </w:r>
      <w:r>
        <w:rPr>
          <w:sz w:val="20"/>
        </w:rPr>
      </w:r>
    </w:p>
    <w:p>
      <w:pPr>
        <w:pStyle w:val="BodyText"/>
        <w:spacing w:before="9"/>
        <w:rPr>
          <w:sz w:val="22"/>
        </w:rPr>
      </w:pPr>
    </w:p>
    <w:p>
      <w:pPr>
        <w:pStyle w:val="BodyText"/>
        <w:ind w:left="1132"/>
      </w:pPr>
      <w:r>
        <w:rPr>
          <w:b w:val="0"/>
          <w:i w:val="0"/>
          <w:u w:val="none"/>
        </w:rPr>
        <w:t>Customs Brokers Licensing Group Australian Customs Service</w:t>
      </w:r>
      <w:r>
        <w:rPr/>
      </w:r>
    </w:p>
    <w:p>
      <w:pPr>
        <w:pStyle w:val="BodyText"/>
        <w:spacing w:before="9"/>
        <w:rPr>
          <w:sz w:val="22"/>
        </w:rPr>
      </w:pPr>
    </w:p>
    <w:p>
      <w:pPr>
        <w:pStyle w:val="BodyText"/>
        <w:ind w:left="1132"/>
      </w:pPr>
      <w:r>
        <w:rPr>
          <w:b w:val="0"/>
          <w:i w:val="0"/>
          <w:u w:val="none"/>
        </w:rPr>
        <w:t>Customs Brokers Licensing Group Australian Border Force</w:t>
      </w:r>
      <w:r>
        <w:rPr/>
      </w:r>
    </w:p>
    <w:p>
      <w:pPr>
        <w:pStyle w:val="BodyText"/>
        <w:rPr>
          <w:sz w:val="23"/>
        </w:rPr>
      </w:pPr>
    </w:p>
    <w:p>
      <w:pPr>
        <w:spacing w:before="0"/>
        <w:ind w:left="2896" w:right="2480" w:firstLine="0"/>
        <w:jc w:val="center"/>
        <w:rPr>
          <w:b/>
          <w:sz w:val="20"/>
        </w:rPr>
      </w:pPr>
      <w:r>
        <w:rPr>
          <w:b/>
          <w:sz w:val="20"/>
        </w:rPr>
        <w:t>Licensing and Trade Practices Group</w:t>
      </w:r>
    </w:p>
    <w:p>
      <w:pPr>
        <w:pStyle w:val="BodyText"/>
        <w:spacing w:before="9"/>
        <w:rPr>
          <w:b/>
          <w:sz w:val="12"/>
        </w:rPr>
      </w:pPr>
    </w:p>
    <w:tbl>
      <w:tblPr>
        <w:tblW w:w="0" w:type="auto"/>
        <w:jc w:val="left"/>
        <w:tblInd w:w="1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3"/>
        <w:gridCol w:w="2245"/>
      </w:tblGrid>
      <w:tr>
        <w:trPr>
          <w:trHeight w:val="494" w:hRule="atLeast"/>
        </w:trPr>
        <w:tc>
          <w:tcPr>
            <w:tcW w:w="6973" w:type="dxa"/>
            <w:tcBorders>
              <w:top w:val="single" w:sz="4" w:space="0" w:color="3391FB"/>
              <w:bottom w:val="single" w:sz="4" w:space="0" w:color="3391FB"/>
            </w:tcBorders>
          </w:tcPr>
          <w:p>
            <w:pPr>
              <w:pStyle w:val="TableParagraph"/>
              <w:rPr>
                <w:sz w:val="20"/>
              </w:rPr>
            </w:pPr>
            <w:r>
              <w:rPr>
                <w:sz w:val="20"/>
              </w:rPr>
              <w:t>Application for Customs broker licence</w:t>
            </w:r>
          </w:p>
        </w:tc>
        <w:tc>
          <w:tcPr>
            <w:tcW w:w="2245" w:type="dxa"/>
            <w:tcBorders>
              <w:top w:val="single" w:sz="4" w:space="0" w:color="3391FB"/>
              <w:bottom w:val="single" w:sz="4" w:space="0" w:color="3391FB"/>
            </w:tcBorders>
          </w:tcPr>
          <w:p>
            <w:pPr>
              <w:pStyle w:val="TableParagraph"/>
              <w:spacing w:before="114"/>
              <w:ind w:left="231"/>
              <w:rPr>
                <w:i/>
                <w:sz w:val="20"/>
              </w:rPr>
            </w:pPr>
            <w:r>
              <w:rPr>
                <w:i/>
                <w:sz w:val="20"/>
              </w:rPr>
              <w:t>Name of Broker:</w:t>
            </w:r>
          </w:p>
        </w:tc>
      </w:tr>
      <w:tr>
        <w:trPr>
          <w:trHeight w:val="491" w:hRule="atLeast"/>
        </w:trPr>
        <w:tc>
          <w:tcPr>
            <w:tcW w:w="6973" w:type="dxa"/>
            <w:tcBorders>
              <w:top w:val="single" w:sz="4" w:space="0" w:color="3391FB"/>
              <w:bottom w:val="single" w:sz="4" w:space="0" w:color="3391FB"/>
            </w:tcBorders>
            <w:shd w:val="clear" w:color="auto" w:fill="BBDAFD"/>
          </w:tcPr>
          <w:p>
            <w:pPr>
              <w:pStyle w:val="TableParagraph"/>
              <w:rPr>
                <w:sz w:val="20"/>
              </w:rPr>
            </w:pPr>
            <w:r>
              <w:rPr>
                <w:sz w:val="20"/>
              </w:rPr>
              <w:t>Industry, Innovation and Skills Development Group NSWBECO</w:t>
            </w:r>
          </w:p>
        </w:tc>
        <w:tc>
          <w:tcPr>
            <w:tcW w:w="2245" w:type="dxa"/>
            <w:tcBorders>
              <w:top w:val="single" w:sz="4" w:space="0" w:color="3391FB"/>
              <w:bottom w:val="single" w:sz="4" w:space="0" w:color="3391FB"/>
            </w:tcBorders>
            <w:shd w:val="clear" w:color="auto" w:fill="BBDAFD"/>
          </w:tcPr>
          <w:p>
            <w:pPr>
              <w:pStyle w:val="TableParagraph"/>
              <w:spacing w:before="114"/>
              <w:ind w:left="231"/>
              <w:rPr>
                <w:i/>
                <w:sz w:val="20"/>
              </w:rPr>
            </w:pPr>
            <w:r>
              <w:rPr>
                <w:i/>
                <w:sz w:val="20"/>
              </w:rPr>
              <w:t>Sydney NSW3022</w:t>
            </w:r>
          </w:p>
        </w:tc>
      </w:tr>
      <w:tr>
        <w:trPr>
          <w:trHeight w:val="493" w:hRule="atLeast"/>
        </w:trPr>
        <w:tc>
          <w:tcPr>
            <w:tcW w:w="6973" w:type="dxa"/>
            <w:tcBorders>
              <w:top w:val="single" w:sz="4" w:space="0" w:color="3391FB"/>
              <w:bottom w:val="single" w:sz="4" w:space="0" w:color="3391FB"/>
            </w:tcBorders>
          </w:tcPr>
          <w:p>
            <w:pPr>
              <w:pStyle w:val="TableParagraph"/>
              <w:rPr>
                <w:sz w:val="20"/>
              </w:rPr>
            </w:pPr>
            <w:r>
              <w:rPr>
                <w:sz w:val="20"/>
              </w:rPr>
              <w:t>Industry, Innovation and Skills Development Unit Nanyang Technological University Sth Aust Nanyang NT 0800</w:t>
            </w:r>
          </w:p>
        </w:tc>
        <w:tc>
          <w:tcPr>
            <w:tcW w:w="2245" w:type="dxa"/>
            <w:tcBorders>
              <w:top w:val="single" w:sz="4" w:space="0" w:color="3391FB"/>
              <w:bottom w:val="single" w:sz="4" w:space="0" w:color="3391FB"/>
            </w:tcBorders>
          </w:tcPr>
          <w:p>
            <w:pPr>
              <w:pStyle w:val="TableParagraph"/>
              <w:spacing w:before="114"/>
              <w:ind w:left="231"/>
              <w:rPr>
                <w:i/>
                <w:sz w:val="20"/>
              </w:rPr>
            </w:pPr>
            <w:r>
              <w:rPr>
                <w:i/>
                <w:sz w:val="20"/>
              </w:rPr>
              <w:t>Contact Person:</w:t>
            </w:r>
          </w:p>
        </w:tc>
      </w:tr>
      <w:tr>
        <w:trPr>
          <w:trHeight w:val="491" w:hRule="atLeast"/>
        </w:trPr>
        <w:tc>
          <w:tcPr>
            <w:tcW w:w="6973" w:type="dxa"/>
            <w:tcBorders>
              <w:top w:val="single" w:sz="4" w:space="0" w:color="3391FB"/>
              <w:bottom w:val="single" w:sz="4" w:space="0" w:color="3391FB"/>
            </w:tcBorders>
            <w:shd w:val="clear" w:color="auto" w:fill="BBDAFD"/>
          </w:tcPr>
          <w:p>
            <w:pPr>
              <w:pStyle w:val="TableParagraph"/>
              <w:rPr>
                <w:sz w:val="20"/>
              </w:rPr>
            </w:pPr>
            <w:r>
              <w:rPr>
                <w:sz w:val="20"/>
              </w:rPr>
              <w:t>Corporate Ormissions:</w:t>
            </w:r>
          </w:p>
        </w:tc>
        <w:tc>
          <w:tcPr>
            <w:tcW w:w="2245" w:type="dxa"/>
            <w:tcBorders>
              <w:top w:val="single" w:sz="4" w:space="0" w:color="3391FB"/>
              <w:bottom w:val="single" w:sz="4" w:space="0" w:color="3391FB"/>
            </w:tcBorders>
            <w:shd w:val="clear" w:color="auto" w:fill="BBDAFD"/>
          </w:tcPr>
          <w:p>
            <w:pPr>
              <w:pStyle w:val="TableParagraph"/>
              <w:spacing w:before="114"/>
              <w:ind w:left="231"/>
              <w:rPr>
                <w:i/>
                <w:sz w:val="20"/>
              </w:rPr>
            </w:pPr>
            <w:r>
              <w:rPr>
                <w:i/>
                <w:sz w:val="20"/>
              </w:rPr>
              <w:t>Broker Licensing</w:t>
            </w:r>
          </w:p>
        </w:tc>
      </w:tr>
      <w:tr>
        <w:trPr>
          <w:trHeight w:val="493" w:hRule="atLeast"/>
        </w:trPr>
        <w:tc>
          <w:tcPr>
            <w:tcW w:w="6973" w:type="dxa"/>
            <w:tcBorders>
              <w:top w:val="single" w:sz="4" w:space="0" w:color="3391FB"/>
              <w:bottom w:val="single" w:sz="4" w:space="0" w:color="3391FB"/>
            </w:tcBorders>
          </w:tcPr>
          <w:p>
            <w:pPr>
              <w:pStyle w:val="TableParagraph"/>
              <w:spacing w:before="119"/>
              <w:rPr>
                <w:sz w:val="20"/>
              </w:rPr>
            </w:pPr>
            <w:r>
              <w:rPr>
                <w:sz w:val="20"/>
              </w:rPr>
              <w:t>National Manager</w:t>
            </w:r>
          </w:p>
        </w:tc>
        <w:tc>
          <w:tcPr>
            <w:tcW w:w="2245" w:type="dxa"/>
            <w:tcBorders>
              <w:top w:val="single" w:sz="4" w:space="0" w:color="3391FB"/>
              <w:bottom w:val="single" w:sz="4" w:space="0" w:color="3391FB"/>
            </w:tcBorders>
          </w:tcPr>
          <w:p>
            <w:pPr>
              <w:pStyle w:val="TableParagraph"/>
              <w:ind w:left="231"/>
              <w:rPr>
                <w:i/>
                <w:sz w:val="20"/>
              </w:rPr>
            </w:pPr>
            <w:r>
              <w:rPr>
                <w:i/>
                <w:sz w:val="20"/>
              </w:rPr>
              <w:t>Furniture Division</w:t>
            </w:r>
          </w:p>
        </w:tc>
      </w:tr>
      <w:tr>
        <w:trPr>
          <w:trHeight w:val="494" w:hRule="atLeast"/>
        </w:trPr>
        <w:tc>
          <w:tcPr>
            <w:tcW w:w="6973" w:type="dxa"/>
            <w:tcBorders>
              <w:top w:val="single" w:sz="4" w:space="0" w:color="3391FB"/>
              <w:bottom w:val="single" w:sz="4" w:space="0" w:color="3391FB"/>
            </w:tcBorders>
            <w:shd w:val="clear" w:color="auto" w:fill="BBDAFD"/>
          </w:tcPr>
          <w:p>
            <w:pPr>
              <w:pStyle w:val="TableParagraph"/>
              <w:rPr>
                <w:sz w:val="20"/>
              </w:rPr>
            </w:pPr>
            <w:r>
              <w:rPr>
                <w:sz w:val="20"/>
              </w:rPr>
              <w:t>Customs Brokers Licensing Group</w:t>
            </w:r>
          </w:p>
        </w:tc>
        <w:tc>
          <w:tcPr>
            <w:tcW w:w="2245" w:type="dxa"/>
            <w:tcBorders>
              <w:top w:val="single" w:sz="4" w:space="0" w:color="3391FB"/>
              <w:bottom w:val="single" w:sz="4" w:space="0" w:color="3391FB"/>
            </w:tcBorders>
            <w:shd w:val="clear" w:color="auto" w:fill="BBDAFD"/>
          </w:tcPr>
          <w:p>
            <w:pPr>
              <w:pStyle w:val="TableParagraph"/>
              <w:spacing w:before="114"/>
              <w:ind w:left="231"/>
              <w:rPr>
                <w:i/>
                <w:sz w:val="20"/>
              </w:rPr>
            </w:pPr>
            <w:r>
              <w:rPr>
                <w:i/>
                <w:sz w:val="20"/>
              </w:rPr>
              <w:t>Customs House</w:t>
            </w:r>
          </w:p>
        </w:tc>
      </w:tr>
      <w:tr>
        <w:trPr>
          <w:trHeight w:val="746" w:hRule="atLeast"/>
        </w:trPr>
        <w:tc>
          <w:tcPr>
            <w:tcW w:w="6973" w:type="dxa"/>
            <w:tcBorders>
              <w:top w:val="single" w:sz="4" w:space="0" w:color="3391FB"/>
              <w:bottom w:val="single" w:sz="4" w:space="0" w:color="3391FB"/>
            </w:tcBorders>
          </w:tcPr>
          <w:p>
            <w:pPr>
              <w:pStyle w:val="TableParagraph"/>
              <w:spacing w:line="264" w:lineRule="auto"/>
              <w:ind w:left="121" w:firstLine="1"/>
              <w:rPr>
                <w:sz w:val="20"/>
              </w:rPr>
            </w:pPr>
            <w:r>
              <w:rPr>
                <w:b w:val="0"/>
                <w:i w:val="0"/>
                <w:w w:val="95"/>
                <w:sz w:val="20"/>
                <w:u w:val="none"/>
              </w:rPr>
              <w:t>5 Constitution Avenue</w:t>
            </w:r>
            <w:r>
              <w:rPr>
                <w:sz w:val="20"/>
              </w:rPr>
            </w:r>
          </w:p>
        </w:tc>
        <w:tc>
          <w:tcPr>
            <w:tcW w:w="2245" w:type="dxa"/>
            <w:tcBorders>
              <w:top w:val="single" w:sz="4" w:space="0" w:color="3391FB"/>
              <w:bottom w:val="single" w:sz="4" w:space="0" w:color="3391FB"/>
            </w:tcBorders>
          </w:tcPr>
          <w:p>
            <w:pPr>
              <w:pStyle w:val="TableParagraph"/>
              <w:spacing w:before="114"/>
              <w:ind w:left="230"/>
              <w:rPr>
                <w:i/>
                <w:sz w:val="20"/>
              </w:rPr>
            </w:pPr>
            <w:r>
              <w:rPr>
                <w:i/>
                <w:sz w:val="20"/>
              </w:rPr>
              <w:t>Canberra ACT 2601</w:t>
            </w:r>
          </w:p>
        </w:tc>
      </w:tr>
      <w:tr>
        <w:trPr>
          <w:trHeight w:val="746" w:hRule="atLeast"/>
        </w:trPr>
        <w:tc>
          <w:tcPr>
            <w:tcW w:w="6973" w:type="dxa"/>
            <w:tcBorders>
              <w:top w:val="single" w:sz="4" w:space="0" w:color="3391FB"/>
              <w:bottom w:val="single" w:sz="4" w:space="0" w:color="3391FB"/>
            </w:tcBorders>
            <w:shd w:val="clear" w:color="auto" w:fill="BBDAFD"/>
          </w:tcPr>
          <w:p>
            <w:pPr>
              <w:pStyle w:val="TableParagraph"/>
              <w:spacing w:line="264" w:lineRule="auto"/>
              <w:ind w:right="473"/>
              <w:rPr>
                <w:sz w:val="20"/>
              </w:rPr>
            </w:pPr>
            <w:r>
              <w:rPr>
                <w:sz w:val="20"/>
              </w:rPr>
              <w:t>Any person wishing to make written representations in respect of these applications should address the correspondence by 3 December 2010 to:</w:t>
            </w:r>
          </w:p>
        </w:tc>
        <w:tc>
          <w:tcPr>
            <w:tcW w:w="2245" w:type="dxa"/>
            <w:tcBorders>
              <w:top w:val="single" w:sz="4" w:space="0" w:color="3391FB"/>
              <w:bottom w:val="single" w:sz="4" w:space="0" w:color="3391FB"/>
            </w:tcBorders>
            <w:shd w:val="clear" w:color="auto" w:fill="BBDAFD"/>
          </w:tcPr>
          <w:p>
            <w:pPr>
              <w:pStyle w:val="TableParagraph"/>
              <w:spacing w:before="114"/>
              <w:ind w:left="231"/>
              <w:rPr>
                <w:i/>
                <w:sz w:val="20"/>
              </w:rPr>
            </w:pPr>
            <w:r>
              <w:rPr>
                <w:i/>
                <w:sz w:val="20"/>
              </w:rPr>
              <w:t>Broker Licensing</w:t>
            </w:r>
          </w:p>
        </w:tc>
      </w:tr>
      <w:tr>
        <w:trPr>
          <w:trHeight w:val="491" w:hRule="atLeast"/>
        </w:trPr>
        <w:tc>
          <w:tcPr>
            <w:tcW w:w="6973" w:type="dxa"/>
            <w:tcBorders>
              <w:top w:val="single" w:sz="4" w:space="0" w:color="3391FB"/>
              <w:bottom w:val="single" w:sz="4" w:space="0" w:color="3391FB"/>
            </w:tcBorders>
          </w:tcPr>
          <w:p>
            <w:pPr>
              <w:pStyle w:val="TableParagraph"/>
              <w:rPr>
                <w:sz w:val="20"/>
              </w:rPr>
            </w:pPr>
            <w:r>
              <w:rPr>
                <w:sz w:val="20"/>
              </w:rPr>
              <w:t>Customs Brokers Licensing Group Australian Customs Service</w:t>
            </w:r>
          </w:p>
        </w:tc>
        <w:tc>
          <w:tcPr>
            <w:tcW w:w="2245" w:type="dxa"/>
            <w:tcBorders>
              <w:top w:val="single" w:sz="4" w:space="0" w:color="3391FB"/>
              <w:bottom w:val="single" w:sz="4" w:space="0" w:color="3391FB"/>
            </w:tcBorders>
          </w:tcPr>
          <w:p>
            <w:pPr>
              <w:pStyle w:val="TableParagraph"/>
              <w:spacing w:before="114"/>
              <w:ind w:left="231"/>
              <w:rPr>
                <w:i/>
                <w:sz w:val="20"/>
              </w:rPr>
            </w:pPr>
            <w:r>
              <w:rPr>
                <w:i/>
                <w:sz w:val="20"/>
              </w:rPr>
              <w:t>5 Constitution Avenue</w:t>
            </w:r>
          </w:p>
        </w:tc>
      </w:tr>
      <w:tr>
        <w:trPr>
          <w:trHeight w:val="493" w:hRule="atLeast"/>
        </w:trPr>
        <w:tc>
          <w:tcPr>
            <w:tcW w:w="6973" w:type="dxa"/>
            <w:tcBorders>
              <w:top w:val="single" w:sz="4" w:space="0" w:color="3391FB"/>
              <w:bottom w:val="single" w:sz="4" w:space="0" w:color="3391FB"/>
            </w:tcBorders>
            <w:shd w:val="clear" w:color="auto" w:fill="BBDAFD"/>
          </w:tcPr>
          <w:p>
            <w:pPr>
              <w:pStyle w:val="TableParagraph"/>
              <w:rPr>
                <w:sz w:val="20"/>
              </w:rPr>
            </w:pPr>
            <w:r>
              <w:rPr>
                <w:sz w:val="20"/>
              </w:rPr>
              <w:t>CANBERRA ACT 2601</w:t>
            </w:r>
          </w:p>
        </w:tc>
        <w:tc>
          <w:tcPr>
            <w:tcW w:w="2245" w:type="dxa"/>
            <w:tcBorders>
              <w:top w:val="single" w:sz="4" w:space="0" w:color="3391FB"/>
              <w:bottom w:val="single" w:sz="4" w:space="0" w:color="3391FB"/>
            </w:tcBorders>
            <w:shd w:val="clear" w:color="auto" w:fill="BBDAFD"/>
          </w:tcPr>
          <w:p>
            <w:pPr>
              <w:pStyle w:val="TableParagraph"/>
              <w:spacing w:before="114"/>
              <w:ind w:left="231"/>
              <w:rPr>
                <w:i/>
                <w:sz w:val="20"/>
              </w:rPr>
            </w:pPr>
            <w:r>
              <w:rPr>
                <w:i/>
                <w:sz w:val="20"/>
              </w:rPr>
              <w:t>Tel: 06 275 6643</w:t>
            </w:r>
          </w:p>
        </w:tc>
      </w:tr>
    </w:tbl>
    <w:p>
      <w:pPr>
        <w:spacing w:after="0"/>
        <w:rPr>
          <w:sz w:val="20"/>
        </w:rPr>
        <w:sectPr>
          <w:type w:val="continuous"/>
          <w:pgSz w:w="11910" w:h="16840"/>
          <w:pgMar w:top="0" w:bottom="280" w:left="0" w:right="0"/>
        </w:sectPr>
      </w:pPr>
    </w:p>
    <w:p>
      <w:pPr>
        <w:pStyle w:val="BodyText"/>
        <w:rPr>
          <w:b/>
        </w:rPr>
      </w:pPr>
    </w:p>
    <w:p>
      <w:pPr>
        <w:pStyle w:val="BodyText"/>
        <w:rPr>
          <w:b/>
        </w:rPr>
      </w:pPr>
    </w:p>
    <w:p>
      <w:pPr>
        <w:pStyle w:val="BodyText"/>
        <w:rPr>
          <w:b/>
        </w:rPr>
      </w:pPr>
    </w:p>
    <w:p>
      <w:pPr>
        <w:pStyle w:val="BodyText"/>
        <w:rPr>
          <w:b/>
        </w:rPr>
      </w:pPr>
    </w:p>
    <w:p>
      <w:pPr>
        <w:pStyle w:val="BodyText"/>
        <w:spacing w:before="11"/>
        <w:rPr>
          <w:b/>
          <w:sz w:val="17"/>
        </w:rPr>
      </w:pPr>
    </w:p>
    <w:p>
      <w:pPr>
        <w:spacing w:before="93"/>
        <w:ind w:left="2899" w:right="2480" w:firstLine="0"/>
        <w:jc w:val="center"/>
        <w:rPr>
          <w:b/>
          <w:sz w:val="20"/>
        </w:rPr>
      </w:pPr>
      <w:r>
        <w:rPr/>
        <w:drawing>
          <wp:anchor distT="0" distB="0" distL="0" distR="0" allowOverlap="1" layoutInCell="1" locked="0" behindDoc="0" simplePos="0" relativeHeight="15729152">
            <wp:simplePos x="0" y="0"/>
            <wp:positionH relativeFrom="page">
              <wp:posOffset>0</wp:posOffset>
            </wp:positionH>
            <wp:positionV relativeFrom="paragraph">
              <wp:posOffset>-721326</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7552055" cy="163160"/>
                    </a:xfrm>
                    <a:prstGeom prst="rect">
                      <a:avLst/>
                    </a:prstGeom>
                  </pic:spPr>
                </pic:pic>
              </a:graphicData>
            </a:graphic>
          </wp:anchor>
        </w:drawing>
      </w:r>
      <w:r>
        <w:rPr>
          <w:b/>
          <w:sz w:val="20"/>
        </w:rPr>
        <w:t>Customs Brokers Licensing Group Australian Border Force</w:t>
      </w:r>
    </w:p>
    <w:p>
      <w:pPr>
        <w:pStyle w:val="BodyText"/>
        <w:spacing w:before="9"/>
        <w:rPr>
          <w:b/>
          <w:sz w:val="12"/>
        </w:rPr>
      </w:pPr>
    </w:p>
    <w:tbl>
      <w:tblPr>
        <w:tblW w:w="0" w:type="auto"/>
        <w:jc w:val="left"/>
        <w:tblInd w:w="1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4"/>
        <w:gridCol w:w="2144"/>
      </w:tblGrid>
      <w:tr>
        <w:trPr>
          <w:trHeight w:val="493" w:hRule="atLeast"/>
        </w:trPr>
        <w:tc>
          <w:tcPr>
            <w:tcW w:w="7074" w:type="dxa"/>
            <w:tcBorders>
              <w:top w:val="single" w:sz="4" w:space="0" w:color="3391FB"/>
              <w:bottom w:val="single" w:sz="4" w:space="0" w:color="3391FB"/>
            </w:tcBorders>
          </w:tcPr>
          <w:p>
            <w:pPr>
              <w:pStyle w:val="TableParagraph"/>
              <w:rPr>
                <w:sz w:val="20"/>
              </w:rPr>
            </w:pPr>
            <w:r>
              <w:rPr>
                <w:sz w:val="20"/>
              </w:rPr>
              <w:t>Fax: 06 275 6434 (BJ Mitchell);</w:t>
            </w:r>
          </w:p>
        </w:tc>
        <w:tc>
          <w:tcPr>
            <w:tcW w:w="2144" w:type="dxa"/>
            <w:tcBorders>
              <w:top w:val="single" w:sz="4" w:space="0" w:color="3391FB"/>
              <w:bottom w:val="single" w:sz="4" w:space="0" w:color="3391FB"/>
            </w:tcBorders>
          </w:tcPr>
          <w:p>
            <w:pPr>
              <w:pStyle w:val="TableParagraph"/>
              <w:spacing w:before="114"/>
              <w:ind w:left="130"/>
              <w:rPr>
                <w:i/>
                <w:sz w:val="20"/>
              </w:rPr>
            </w:pPr>
            <w:r>
              <w:rPr>
                <w:i/>
                <w:sz w:val="20"/>
              </w:rPr>
              <w:t>(Ph: 06 275 6447)</w:t>
            </w:r>
          </w:p>
        </w:tc>
      </w:tr>
      <w:tr>
        <w:trPr>
          <w:trHeight w:val="491" w:hRule="atLeast"/>
        </w:trPr>
        <w:tc>
          <w:tcPr>
            <w:tcW w:w="7074" w:type="dxa"/>
            <w:tcBorders>
              <w:top w:val="single" w:sz="4" w:space="0" w:color="3391FB"/>
              <w:bottom w:val="single" w:sz="4" w:space="0" w:color="3391FB"/>
            </w:tcBorders>
            <w:shd w:val="clear" w:color="auto" w:fill="BBDAFD"/>
          </w:tcPr>
          <w:p>
            <w:pPr>
              <w:pStyle w:val="TableParagraph"/>
              <w:rPr>
                <w:sz w:val="20"/>
              </w:rPr>
            </w:pPr>
            <w:r>
              <w:rPr>
                <w:sz w:val="20"/>
              </w:rPr>
              <w:t>Andrew Buckpitt National Manager</w:t>
            </w:r>
          </w:p>
        </w:tc>
        <w:tc>
          <w:tcPr>
            <w:tcW w:w="2144" w:type="dxa"/>
            <w:tcBorders>
              <w:top w:val="single" w:sz="4" w:space="0" w:color="3391FB"/>
              <w:bottom w:val="single" w:sz="4" w:space="0" w:color="3391FB"/>
            </w:tcBorders>
            <w:shd w:val="clear" w:color="auto" w:fill="BBDAFD"/>
          </w:tcPr>
          <w:p>
            <w:pPr>
              <w:pStyle w:val="TableParagraph"/>
              <w:spacing w:before="114"/>
              <w:ind w:left="130"/>
              <w:rPr>
                <w:i/>
                <w:sz w:val="20"/>
              </w:rPr>
            </w:pPr>
            <w:r>
              <w:rPr>
                <w:i/>
                <w:sz w:val="20"/>
              </w:rPr>
              <w:t>Furniture Branch</w:t>
            </w:r>
          </w:p>
        </w:tc>
      </w:tr>
      <w:tr>
        <w:trPr>
          <w:trHeight w:val="493" w:hRule="atLeast"/>
        </w:trPr>
        <w:tc>
          <w:tcPr>
            <w:tcW w:w="7074" w:type="dxa"/>
            <w:tcBorders>
              <w:top w:val="single" w:sz="4" w:space="0" w:color="3391FB"/>
              <w:bottom w:val="single" w:sz="4" w:space="0" w:color="3391FB"/>
            </w:tcBorders>
          </w:tcPr>
          <w:p>
            <w:pPr>
              <w:pStyle w:val="TableParagraph"/>
              <w:spacing w:before="119"/>
              <w:rPr>
                <w:sz w:val="20"/>
              </w:rPr>
            </w:pPr>
            <w:r>
              <w:rPr>
                <w:sz w:val="20"/>
              </w:rPr>
              <w:t>Cargo Reporting Policy and Management Branch</w:t>
            </w:r>
          </w:p>
        </w:tc>
        <w:tc>
          <w:tcPr>
            <w:tcW w:w="2144" w:type="dxa"/>
            <w:tcBorders>
              <w:top w:val="single" w:sz="4" w:space="0" w:color="3391FB"/>
              <w:bottom w:val="single" w:sz="4" w:space="0" w:color="3391FB"/>
            </w:tcBorders>
          </w:tcPr>
          <w:p>
            <w:pPr>
              <w:pStyle w:val="TableParagraph"/>
              <w:ind w:left="130"/>
              <w:rPr>
                <w:i/>
                <w:sz w:val="20"/>
              </w:rPr>
            </w:pPr>
            <w:r>
              <w:rPr>
                <w:i/>
                <w:sz w:val="20"/>
              </w:rPr>
              <w:t>CANBERRA ACT</w:t>
            </w:r>
          </w:p>
        </w:tc>
      </w:tr>
      <w:tr>
        <w:trPr>
          <w:trHeight w:val="494" w:hRule="atLeast"/>
        </w:trPr>
        <w:tc>
          <w:tcPr>
            <w:tcW w:w="7074" w:type="dxa"/>
            <w:tcBorders>
              <w:top w:val="single" w:sz="4" w:space="0" w:color="3391FB"/>
              <w:bottom w:val="single" w:sz="4" w:space="0" w:color="3391FB"/>
            </w:tcBorders>
            <w:shd w:val="clear" w:color="auto" w:fill="BBDAFD"/>
          </w:tcPr>
          <w:p>
            <w:pPr>
              <w:pStyle w:val="TableParagraph"/>
              <w:rPr>
                <w:sz w:val="20"/>
              </w:rPr>
            </w:pPr>
            <w:r>
              <w:rPr>
                <w:sz w:val="20"/>
              </w:rPr>
              <w:t>7 November 2010</w:t>
            </w:r>
          </w:p>
        </w:tc>
        <w:tc>
          <w:tcPr>
            <w:tcW w:w="2144" w:type="dxa"/>
            <w:tcBorders>
              <w:top w:val="single" w:sz="4" w:space="0" w:color="3391FB"/>
              <w:bottom w:val="single" w:sz="4" w:space="0" w:color="3391FB"/>
            </w:tcBorders>
            <w:shd w:val="clear" w:color="auto" w:fill="BBDAFD"/>
          </w:tcPr>
          <w:p>
            <w:pPr>
              <w:pStyle w:val="TableParagraph"/>
              <w:spacing w:before="114"/>
              <w:ind w:left="130"/>
              <w:rPr>
                <w:i/>
                <w:sz w:val="20"/>
              </w:rPr>
            </w:pPr>
            <w:r>
              <w:rPr>
                <w:i/>
                <w:sz w:val="20"/>
              </w:rPr>
              <w:t>Attachment 2</w:t>
            </w:r>
          </w:p>
        </w:tc>
      </w:tr>
      <w:tr>
        <w:trPr>
          <w:trHeight w:val="491" w:hRule="atLeast"/>
        </w:trPr>
        <w:tc>
          <w:tcPr>
            <w:tcW w:w="7074" w:type="dxa"/>
            <w:tcBorders>
              <w:top w:val="single" w:sz="4" w:space="0" w:color="3391FB"/>
              <w:bottom w:val="single" w:sz="4" w:space="0" w:color="3391FB"/>
            </w:tcBorders>
          </w:tcPr>
          <w:p>
            <w:pPr>
              <w:pStyle w:val="TableParagraph"/>
              <w:rPr>
                <w:sz w:val="20"/>
              </w:rPr>
            </w:pPr>
            <w:r>
              <w:rPr>
                <w:sz w:val="20"/>
              </w:rPr>
              <w:t>Material</w:t>
            </w:r>
          </w:p>
        </w:tc>
        <w:tc>
          <w:tcPr>
            <w:tcW w:w="2144" w:type="dxa"/>
            <w:tcBorders>
              <w:top w:val="single" w:sz="4" w:space="0" w:color="3391FB"/>
              <w:bottom w:val="single" w:sz="4" w:space="0" w:color="3391FB"/>
            </w:tcBorders>
          </w:tcPr>
          <w:p>
            <w:pPr>
              <w:pStyle w:val="TableParagraph"/>
              <w:spacing w:before="114"/>
              <w:ind w:left="130"/>
              <w:rPr>
                <w:i/>
                <w:sz w:val="20"/>
              </w:rPr>
            </w:pPr>
            <w:r>
              <w:rPr>
                <w:i/>
                <w:sz w:val="20"/>
              </w:rPr>
              <w:t>Material</w:t>
            </w:r>
          </w:p>
        </w:tc>
      </w:tr>
      <w:tr>
        <w:trPr>
          <w:trHeight w:val="493" w:hRule="atLeast"/>
        </w:trPr>
        <w:tc>
          <w:tcPr>
            <w:tcW w:w="7074" w:type="dxa"/>
            <w:tcBorders>
              <w:top w:val="single" w:sz="4" w:space="0" w:color="3391FB"/>
              <w:bottom w:val="single" w:sz="4" w:space="0" w:color="3391FB"/>
            </w:tcBorders>
            <w:shd w:val="clear" w:color="auto" w:fill="BBDAFD"/>
          </w:tcPr>
          <w:p>
            <w:pPr>
              <w:pStyle w:val="TableParagraph"/>
              <w:rPr>
                <w:sz w:val="20"/>
              </w:rPr>
            </w:pPr>
            <w:r>
              <w:rPr>
                <w:sz w:val="20"/>
              </w:rPr>
              <w:t>Copyright is claimed in the following</w:t>
            </w:r>
          </w:p>
        </w:tc>
        <w:tc>
          <w:tcPr>
            <w:tcW w:w="2144" w:type="dxa"/>
            <w:tcBorders>
              <w:top w:val="single" w:sz="4" w:space="0" w:color="3391FB"/>
              <w:bottom w:val="single" w:sz="4" w:space="0" w:color="3391FB"/>
            </w:tcBorders>
            <w:shd w:val="clear" w:color="auto" w:fill="BBDAFD"/>
          </w:tcPr>
          <w:p>
            <w:pPr>
              <w:pStyle w:val="TableParagraph"/>
              <w:spacing w:before="114"/>
              <w:ind w:left="130"/>
              <w:rPr>
                <w:i/>
                <w:sz w:val="20"/>
              </w:rPr>
            </w:pPr>
            <w:r>
              <w:rPr>
                <w:i/>
                <w:sz w:val="20"/>
              </w:rPr>
              <w:t>items in the</w:t>
            </w:r>
          </w:p>
        </w:tc>
      </w:tr>
      <w:tr>
        <w:trPr>
          <w:trHeight w:val="746" w:hRule="atLeast"/>
        </w:trPr>
        <w:tc>
          <w:tcPr>
            <w:tcW w:w="7074" w:type="dxa"/>
            <w:tcBorders>
              <w:top w:val="single" w:sz="4" w:space="0" w:color="3391FB"/>
              <w:bottom w:val="single" w:sz="4" w:space="0" w:color="3391FB"/>
            </w:tcBorders>
          </w:tcPr>
          <w:p>
            <w:pPr>
              <w:pStyle w:val="TableParagraph"/>
              <w:spacing w:line="264" w:lineRule="auto"/>
              <w:ind w:left="121" w:firstLine="1"/>
              <w:rPr>
                <w:sz w:val="20"/>
              </w:rPr>
            </w:pPr>
            <w:r>
              <w:rPr>
                <w:b w:val="0"/>
                <w:i w:val="0"/>
                <w:w w:val="95"/>
                <w:sz w:val="20"/>
                <w:u w:val="none"/>
              </w:rPr>
              <w:t>trunks, suitcases, bags and other cases mentioned in the Attachment</w:t>
            </w:r>
            <w:r>
              <w:rPr>
                <w:sz w:val="20"/>
              </w:rPr>
            </w:r>
          </w:p>
        </w:tc>
        <w:tc>
          <w:tcPr>
            <w:tcW w:w="2144" w:type="dxa"/>
            <w:tcBorders>
              <w:top w:val="single" w:sz="4" w:space="0" w:color="3391FB"/>
              <w:bottom w:val="single" w:sz="4" w:space="0" w:color="3391FB"/>
            </w:tcBorders>
          </w:tcPr>
          <w:p>
            <w:pPr>
              <w:pStyle w:val="TableParagraph"/>
              <w:spacing w:before="114"/>
              <w:ind w:left="129"/>
              <w:rPr>
                <w:i/>
                <w:sz w:val="20"/>
              </w:rPr>
            </w:pPr>
            <w:r>
              <w:rPr>
                <w:i/>
                <w:sz w:val="20"/>
              </w:rPr>
              <w:t>consisting of:</w:t>
            </w:r>
          </w:p>
        </w:tc>
      </w:tr>
      <w:tr>
        <w:trPr>
          <w:trHeight w:val="745" w:hRule="atLeast"/>
        </w:trPr>
        <w:tc>
          <w:tcPr>
            <w:tcW w:w="7074" w:type="dxa"/>
            <w:tcBorders>
              <w:top w:val="single" w:sz="4" w:space="0" w:color="3391FB"/>
              <w:bottom w:val="single" w:sz="4" w:space="0" w:color="3391FB"/>
            </w:tcBorders>
            <w:shd w:val="clear" w:color="auto" w:fill="BBDAFD"/>
          </w:tcPr>
          <w:p>
            <w:pPr>
              <w:pStyle w:val="TableParagraph"/>
              <w:spacing w:line="264" w:lineRule="auto"/>
              <w:rPr>
                <w:sz w:val="20"/>
              </w:rPr>
            </w:pPr>
            <w:r>
              <w:rPr>
                <w:b w:val="0"/>
                <w:i w:val="0"/>
                <w:w w:val="95"/>
                <w:sz w:val="20"/>
                <w:u w:val="none"/>
              </w:rPr>
              <w:t>A Guide to Warehouse Cargo’s Reporting Regulations</w:t>
            </w:r>
            <w:r>
              <w:rPr>
                <w:sz w:val="20"/>
              </w:rPr>
            </w:r>
          </w:p>
        </w:tc>
        <w:tc>
          <w:tcPr>
            <w:tcW w:w="2144" w:type="dxa"/>
            <w:tcBorders>
              <w:top w:val="single" w:sz="4" w:space="0" w:color="3391FB"/>
              <w:bottom w:val="single" w:sz="4" w:space="0" w:color="3391FB"/>
            </w:tcBorders>
            <w:shd w:val="clear" w:color="auto" w:fill="BBDAFD"/>
          </w:tcPr>
          <w:p>
            <w:pPr>
              <w:pStyle w:val="TableParagraph"/>
              <w:spacing w:before="114"/>
              <w:ind w:left="130"/>
              <w:rPr>
                <w:i/>
                <w:sz w:val="20"/>
              </w:rPr>
            </w:pPr>
            <w:r>
              <w:rPr>
                <w:i/>
                <w:sz w:val="20"/>
              </w:rPr>
              <w:t>Cargo Reporting Rules</w:t>
            </w:r>
          </w:p>
        </w:tc>
      </w:tr>
      <w:tr>
        <w:trPr>
          <w:trHeight w:val="746" w:hRule="atLeast"/>
        </w:trPr>
        <w:tc>
          <w:tcPr>
            <w:tcW w:w="7074" w:type="dxa"/>
            <w:tcBorders>
              <w:top w:val="single" w:sz="4" w:space="0" w:color="3391FB"/>
              <w:bottom w:val="single" w:sz="4" w:space="0" w:color="3391FB"/>
            </w:tcBorders>
          </w:tcPr>
          <w:p>
            <w:pPr>
              <w:pStyle w:val="TableParagraph"/>
              <w:spacing w:line="264" w:lineRule="auto"/>
              <w:ind w:right="384"/>
              <w:rPr>
                <w:sz w:val="20"/>
              </w:rPr>
            </w:pPr>
            <w:r>
              <w:rPr>
                <w:sz w:val="20"/>
              </w:rPr>
              <w:t>For further information on the proposed changes to reporting requirements in Chapter 55 of the</w:t>
            </w:r>
          </w:p>
        </w:tc>
        <w:tc>
          <w:tcPr>
            <w:tcW w:w="2144" w:type="dxa"/>
            <w:tcBorders>
              <w:top w:val="single" w:sz="4" w:space="0" w:color="3391FB"/>
              <w:bottom w:val="single" w:sz="4" w:space="0" w:color="3391FB"/>
            </w:tcBorders>
          </w:tcPr>
          <w:p>
            <w:pPr>
              <w:pStyle w:val="TableParagraph"/>
              <w:spacing w:before="114"/>
              <w:ind w:left="130"/>
              <w:rPr>
                <w:i/>
                <w:sz w:val="20"/>
              </w:rPr>
            </w:pPr>
            <w:r>
              <w:rPr>
                <w:i/>
                <w:sz w:val="20"/>
              </w:rPr>
              <w:t>Act, please visit:</w:t>
            </w:r>
          </w:p>
        </w:tc>
      </w:tr>
      <w:tr>
        <w:trPr>
          <w:trHeight w:val="746" w:hRule="atLeast"/>
        </w:trPr>
        <w:tc>
          <w:tcPr>
            <w:tcW w:w="7074" w:type="dxa"/>
            <w:tcBorders>
              <w:top w:val="single" w:sz="4" w:space="0" w:color="3391FB"/>
              <w:bottom w:val="single" w:sz="4" w:space="0" w:color="3391FB"/>
            </w:tcBorders>
            <w:shd w:val="clear" w:color="auto" w:fill="BBDAFD"/>
          </w:tcPr>
          <w:p>
            <w:pPr>
              <w:pStyle w:val="TableParagraph"/>
              <w:spacing w:line="264" w:lineRule="auto"/>
              <w:ind w:right="574"/>
              <w:rPr>
                <w:sz w:val="20"/>
              </w:rPr>
            </w:pPr>
            <w:r>
              <w:rPr>
                <w:sz w:val="20"/>
              </w:rPr>
              <w:t>The following are the references for further information on the relevant sections of the Act:</w:t>
            </w:r>
          </w:p>
        </w:tc>
        <w:tc>
          <w:tcPr>
            <w:tcW w:w="2144" w:type="dxa"/>
            <w:tcBorders>
              <w:top w:val="single" w:sz="4" w:space="0" w:color="3391FB"/>
              <w:bottom w:val="single" w:sz="4" w:space="0" w:color="3391FB"/>
            </w:tcBorders>
            <w:shd w:val="clear" w:color="auto" w:fill="BBDAFD"/>
          </w:tcPr>
          <w:p>
            <w:pPr>
              <w:pStyle w:val="TableParagraph"/>
              <w:spacing w:before="114"/>
              <w:ind w:left="130"/>
              <w:rPr>
                <w:i/>
                <w:sz w:val="20"/>
              </w:rPr>
            </w:pPr>
            <w:r>
              <w:rPr>
                <w:i/>
                <w:sz w:val="20"/>
              </w:rPr>
              <w:t>Customs Regulation 4B</w:t>
            </w:r>
          </w:p>
        </w:tc>
      </w:tr>
      <w:tr>
        <w:trPr>
          <w:trHeight w:val="745" w:hRule="atLeast"/>
        </w:trPr>
        <w:tc>
          <w:tcPr>
            <w:tcW w:w="7074" w:type="dxa"/>
            <w:tcBorders>
              <w:top w:val="single" w:sz="4" w:space="0" w:color="3391FB"/>
              <w:bottom w:val="single" w:sz="4" w:space="0" w:color="3391FB"/>
            </w:tcBorders>
          </w:tcPr>
          <w:p>
            <w:pPr>
              <w:pStyle w:val="TableParagraph"/>
              <w:spacing w:line="264" w:lineRule="auto"/>
              <w:rPr>
                <w:sz w:val="20"/>
              </w:rPr>
            </w:pPr>
            <w:r>
              <w:rPr>
                <w:sz w:val="20"/>
              </w:rPr>
              <w:t>Customs regulation 47C (Regulation 4B), for cargo reported by ship or aircraft</w:t>
            </w:r>
          </w:p>
        </w:tc>
        <w:tc>
          <w:tcPr>
            <w:tcW w:w="2144" w:type="dxa"/>
            <w:tcBorders>
              <w:top w:val="single" w:sz="4" w:space="0" w:color="3391FB"/>
              <w:bottom w:val="single" w:sz="4" w:space="0" w:color="3391FB"/>
            </w:tcBorders>
          </w:tcPr>
          <w:p>
            <w:pPr>
              <w:pStyle w:val="TableParagraph"/>
              <w:spacing w:before="114"/>
              <w:ind w:left="130"/>
              <w:rPr>
                <w:i/>
                <w:sz w:val="20"/>
              </w:rPr>
            </w:pPr>
            <w:r>
              <w:rPr>
                <w:i/>
                <w:sz w:val="20"/>
              </w:rPr>
              <w:t>Enquiries</w:t>
            </w:r>
          </w:p>
        </w:tc>
      </w:tr>
      <w:tr>
        <w:trPr>
          <w:trHeight w:val="491" w:hRule="atLeast"/>
        </w:trPr>
        <w:tc>
          <w:tcPr>
            <w:tcW w:w="7074" w:type="dxa"/>
            <w:tcBorders>
              <w:top w:val="single" w:sz="4" w:space="0" w:color="3391FB"/>
              <w:bottom w:val="single" w:sz="4" w:space="0" w:color="3391FB"/>
            </w:tcBorders>
            <w:shd w:val="clear" w:color="auto" w:fill="BBDAFD"/>
          </w:tcPr>
          <w:p>
            <w:pPr>
              <w:pStyle w:val="TableParagraph"/>
              <w:rPr>
                <w:sz w:val="20"/>
              </w:rPr>
            </w:pPr>
            <w:r>
              <w:rPr>
                <w:sz w:val="20"/>
              </w:rPr>
              <w:t>Customs Regulation 4A (Regulation 4A), for sea or air cargo</w:t>
            </w:r>
          </w:p>
        </w:tc>
        <w:tc>
          <w:tcPr>
            <w:tcW w:w="2144" w:type="dxa"/>
            <w:tcBorders>
              <w:top w:val="single" w:sz="4" w:space="0" w:color="3391FB"/>
              <w:bottom w:val="single" w:sz="4" w:space="0" w:color="3391FB"/>
            </w:tcBorders>
            <w:shd w:val="clear" w:color="auto" w:fill="BBDAFD"/>
          </w:tcPr>
          <w:p>
            <w:pPr>
              <w:pStyle w:val="TableParagraph"/>
              <w:spacing w:before="114"/>
              <w:ind w:left="130"/>
              <w:rPr>
                <w:i/>
                <w:sz w:val="20"/>
              </w:rPr>
            </w:pPr>
            <w:r>
              <w:rPr>
                <w:i/>
                <w:sz w:val="20"/>
              </w:rPr>
              <w:t>Tariff pages</w:t>
            </w:r>
          </w:p>
        </w:tc>
      </w:tr>
    </w:tbl>
    <w:p>
      <w:pPr>
        <w:pStyle w:val="BodyText"/>
        <w:rPr>
          <w:b/>
        </w:rPr>
      </w:pPr>
    </w:p>
    <w:p>
      <w:pPr>
        <w:pStyle w:val="BodyText"/>
        <w:ind w:left="1132" w:right="1948"/>
      </w:pPr>
      <w:r>
        <w:rPr>
          <w:b w:val="0"/>
          <w:i w:val="0"/>
          <w:u w:val="none"/>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hyperlink r:id="rId8">
        <w:r>
          <w:rPr>
            <w:u w:val="single"/>
          </w:rPr>
          <w:t>https://www.odc.gov.au/ws-lps-index</w:t>
        </w:r>
      </w:hyperlink>
      <w:r>
        <w:rPr>
          <w:u w:val="single"/>
        </w:rPr>
      </w:r>
    </w:p>
    <w:p>
      <w:pPr>
        <w:pStyle w:val="BodyText"/>
        <w:spacing w:before="10"/>
        <w:rPr>
          <w:sz w:val="11"/>
        </w:rPr>
      </w:pPr>
    </w:p>
    <w:p>
      <w:pPr>
        <w:pStyle w:val="BodyText"/>
        <w:spacing w:before="93"/>
        <w:ind w:left="1132" w:right="1203"/>
        <w:jc w:val="both"/>
      </w:pPr>
      <w:r>
        <w:rPr>
          <w:b w:val="0"/>
          <w:i w:val="0"/>
          <w:u w:val="none"/>
        </w:rPr>
        <w:t>Applicants will not be provided with a copy of the communication and details of its author unless Customs is authorised by the author to fully disclose the representation.</w:t>
      </w:r>
      <w:r>
        <w:rPr>
          <w:i/>
        </w:rPr>
      </w:r>
      <w:r>
        <w:rPr/>
      </w:r>
    </w:p>
    <w:p>
      <w:pPr>
        <w:pStyle w:val="BodyText"/>
        <w:spacing w:before="1"/>
      </w:pPr>
    </w:p>
    <w:p>
      <w:pPr>
        <w:pStyle w:val="BodyText"/>
        <w:spacing w:before="1"/>
        <w:ind w:left="1132" w:right="1259"/>
        <w:jc w:val="both"/>
      </w:pPr>
      <w:r>
        <w:rPr>
          <w:b w:val="0"/>
          <w:i w:val="0"/>
          <w:u w:val="none"/>
        </w:rPr>
        <w:t>The applicant will not be provided with a copy of the communication and details of its author unless Customs is authorised by the author to fully disclose the representation.</w:t>
      </w:r>
      <w:hyperlink r:id="rId9">
        <w:r>
          <w:rPr>
            <w:u w:val="single"/>
          </w:rPr>
          <w:t>www.homeaffairs.gov.au</w:t>
        </w:r>
      </w:hyperlink>
      <w:r>
        <w:rPr>
          <w:u w:val="single"/>
        </w:rPr>
      </w:r>
      <w:r>
        <w:rPr/>
      </w: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9"/>
        </w:rPr>
      </w:pPr>
    </w:p>
    <w:p>
      <w:pPr>
        <w:pStyle w:val="BodyText"/>
        <w:spacing w:before="1"/>
        <w:ind w:left="1132"/>
      </w:pPr>
      <w:r>
        <w:rPr/>
        <w:t>JEFF BUCKPITT</w:t>
      </w:r>
    </w:p>
    <w:p>
      <w:pPr>
        <w:pStyle w:val="BodyText"/>
        <w:spacing w:line="264" w:lineRule="auto" w:before="144"/>
        <w:ind w:left="1132" w:right="9001"/>
      </w:pPr>
      <w:r>
        <w:rPr/>
        <w:t>A/g Assistant Secretary</w:t>
      </w:r>
    </w:p>
    <w:p>
      <w:pPr>
        <w:pStyle w:val="BodyText"/>
        <w:spacing w:line="266" w:lineRule="auto"/>
        <w:ind w:left="1132" w:right="7378"/>
      </w:pPr>
      <w:r>
        <w:rPr/>
        <w:t>Commerce, Industry and Resources Division CANBERRA ACT</w:t>
      </w:r>
    </w:p>
    <w:p>
      <w:pPr>
        <w:pStyle w:val="BodyText"/>
        <w:spacing w:before="114"/>
        <w:ind w:left="1132"/>
      </w:pPr>
      <w:r>
        <w:rPr/>
        <w:t>30 June 2010</w:t>
      </w:r>
    </w:p>
    <w:p>
      <w:pPr>
        <w:pStyle w:val="BodyText"/>
      </w:pPr>
    </w:p>
    <w:p>
      <w:pPr>
        <w:pStyle w:val="BodyText"/>
      </w:pPr>
    </w:p>
    <w:p>
      <w:pPr>
        <w:pStyle w:val="BodyText"/>
        <w:spacing w:before="8"/>
        <w:rPr>
          <w:sz w:val="19"/>
        </w:rPr>
      </w:pPr>
    </w:p>
    <w:p>
      <w:pPr>
        <w:spacing w:before="95"/>
        <w:ind w:left="0" w:right="1130" w:firstLine="0"/>
        <w:jc w:val="right"/>
        <w:rPr>
          <w:b/>
          <w:sz w:val="16"/>
        </w:rPr>
      </w:pPr>
      <w:r>
        <w:rPr>
          <w:b w:val="0"/>
          <w:i w:val="0"/>
          <w:sz w:val="16"/>
          <w:u w:val="none"/>
        </w:rPr>
        <w:t>Attachment 1</w:t>
      </w:r>
      <w:r>
        <w:rPr>
          <w:b/>
          <w:sz w:val="16"/>
        </w:rPr>
      </w:r>
      <w:r>
        <w:rPr>
          <w:sz w:val="16"/>
        </w:rPr>
      </w:r>
      <w:r>
        <w:rPr>
          <w:b/>
          <w:sz w:val="16"/>
        </w:rPr>
      </w:r>
    </w:p>
    <w:sectPr>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15" w:hanging="284"/>
      </w:pPr>
      <w:rPr>
        <w:rFonts w:hint="default" w:ascii="Arial" w:hAnsi="Arial" w:eastAsia="Arial" w:cs="Arial"/>
        <w:b/>
        <w:bCs/>
        <w:w w:val="99"/>
        <w:sz w:val="20"/>
        <w:szCs w:val="20"/>
        <w:lang w:val="en-au" w:eastAsia="en-US" w:bidi="ar-SA"/>
      </w:rPr>
    </w:lvl>
    <w:lvl w:ilvl="1">
      <w:start w:val="0"/>
      <w:numFmt w:val="bullet"/>
      <w:lvlText w:val="•"/>
      <w:lvlJc w:val="left"/>
      <w:pPr>
        <w:ind w:left="2468" w:hanging="284"/>
      </w:pPr>
      <w:rPr>
        <w:rFonts w:hint="default"/>
        <w:lang w:val="en-au" w:eastAsia="en-US" w:bidi="ar-SA"/>
      </w:rPr>
    </w:lvl>
    <w:lvl w:ilvl="2">
      <w:start w:val="0"/>
      <w:numFmt w:val="bullet"/>
      <w:lvlText w:val="•"/>
      <w:lvlJc w:val="left"/>
      <w:pPr>
        <w:ind w:left="3517" w:hanging="284"/>
      </w:pPr>
      <w:rPr>
        <w:rFonts w:hint="default"/>
        <w:lang w:val="en-au" w:eastAsia="en-US" w:bidi="ar-SA"/>
      </w:rPr>
    </w:lvl>
    <w:lvl w:ilvl="3">
      <w:start w:val="0"/>
      <w:numFmt w:val="bullet"/>
      <w:lvlText w:val="•"/>
      <w:lvlJc w:val="left"/>
      <w:pPr>
        <w:ind w:left="4565" w:hanging="284"/>
      </w:pPr>
      <w:rPr>
        <w:rFonts w:hint="default"/>
        <w:lang w:val="en-au" w:eastAsia="en-US" w:bidi="ar-SA"/>
      </w:rPr>
    </w:lvl>
    <w:lvl w:ilvl="4">
      <w:start w:val="0"/>
      <w:numFmt w:val="bullet"/>
      <w:lvlText w:val="•"/>
      <w:lvlJc w:val="left"/>
      <w:pPr>
        <w:ind w:left="5614" w:hanging="284"/>
      </w:pPr>
      <w:rPr>
        <w:rFonts w:hint="default"/>
        <w:lang w:val="en-au" w:eastAsia="en-US" w:bidi="ar-SA"/>
      </w:rPr>
    </w:lvl>
    <w:lvl w:ilvl="5">
      <w:start w:val="0"/>
      <w:numFmt w:val="bullet"/>
      <w:lvlText w:val="•"/>
      <w:lvlJc w:val="left"/>
      <w:pPr>
        <w:ind w:left="6663" w:hanging="284"/>
      </w:pPr>
      <w:rPr>
        <w:rFonts w:hint="default"/>
        <w:lang w:val="en-au" w:eastAsia="en-US" w:bidi="ar-SA"/>
      </w:rPr>
    </w:lvl>
    <w:lvl w:ilvl="6">
      <w:start w:val="0"/>
      <w:numFmt w:val="bullet"/>
      <w:lvlText w:val="•"/>
      <w:lvlJc w:val="left"/>
      <w:pPr>
        <w:ind w:left="7711" w:hanging="284"/>
      </w:pPr>
      <w:rPr>
        <w:rFonts w:hint="default"/>
        <w:lang w:val="en-au" w:eastAsia="en-US" w:bidi="ar-SA"/>
      </w:rPr>
    </w:lvl>
    <w:lvl w:ilvl="7">
      <w:start w:val="0"/>
      <w:numFmt w:val="bullet"/>
      <w:lvlText w:val="•"/>
      <w:lvlJc w:val="left"/>
      <w:pPr>
        <w:ind w:left="8760" w:hanging="284"/>
      </w:pPr>
      <w:rPr>
        <w:rFonts w:hint="default"/>
        <w:lang w:val="en-au" w:eastAsia="en-US" w:bidi="ar-SA"/>
      </w:rPr>
    </w:lvl>
    <w:lvl w:ilvl="8">
      <w:start w:val="0"/>
      <w:numFmt w:val="bullet"/>
      <w:lvlText w:val="•"/>
      <w:lvlJc w:val="left"/>
      <w:pPr>
        <w:ind w:left="9809" w:hanging="284"/>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4739" w:right="1380" w:hanging="3274"/>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18"/>
      <w:ind w:left="1415" w:hanging="284"/>
    </w:pPr>
    <w:rPr>
      <w:rFonts w:ascii="Arial" w:hAnsi="Arial" w:eastAsia="Arial" w:cs="Arial"/>
      <w:lang w:val="en-au" w:eastAsia="en-US" w:bidi="ar-SA"/>
    </w:rPr>
  </w:style>
  <w:style w:styleId="TableParagraph" w:type="paragraph">
    <w:name w:val="Table Paragraph"/>
    <w:basedOn w:val="Normal"/>
    <w:uiPriority w:val="1"/>
    <w:qFormat/>
    <w:pPr>
      <w:spacing w:before="117"/>
      <w:ind w:left="122"/>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odc.gov.au/ws-lps-index" TargetMode="External"/><Relationship Id="rId9" Type="http://schemas.openxmlformats.org/officeDocument/2006/relationships/hyperlink" Target="http://www.homeaffairs.gov.a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Enquiries concerning this Notice may be directed to:</dc:creator>
  <cp:keywords>P.G. Burns National Manager Cargo Reporting</cp:keywords>
  <dc:subject>Customs and Border Protection Branch</dc:subject>
  <dc:title>For information on customs cargo reporting, or to arrange for a customs broker’s licence, please contact:</dc:title>
  <dcterms:created xsi:type="dcterms:W3CDTF">2020-12-09T22:16:22Z</dcterms:created>
  <dcterms:modified xsi:type="dcterms:W3CDTF">2020-12-09T22:16:22Z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2018-10-26T00:00:00Z</vt:filetime>
  </property>
  <property fmtid="{D5CDD505-2E9C-101B-9397-08002B2CF9AE}" pid="3" name="Creator">
    <vt:lpwstr>Acrobat PDFMaker 15 for Word</vt:lpwstr>
  </property>
  <property fmtid="{D5CDD505-2E9C-101B-9397-08002B2CF9AE}" pid="4" name="LastSaved">
    <vt:filetime>2020-12-09T00:00:00Z</vt:filetime>
  </property>
</Properties>
</file>