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0" simplePos="0" relativeHeight="15728640">
            <wp:simplePos x="0" y="0"/>
            <wp:positionH relativeFrom="page">
              <wp:posOffset>0</wp:posOffset>
            </wp:positionH>
            <wp:positionV relativeFrom="page">
              <wp:posOffset>9967474</wp:posOffset>
            </wp:positionV>
            <wp:extent cx="7544714" cy="71569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44714" cy="715699"/>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-1467411</wp:posOffset>
            </wp:positionV>
            <wp:extent cx="7558404" cy="1459103"/>
            <wp:effectExtent l="0" t="0" r="0" b="0"/>
            <wp:wrapNone/>
            <wp:docPr id="3" name="image2.jpeg" descr="Australian Government Department of Home Affairs and Australian Border Force logo."/>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558404" cy="1459103"/>
                    </a:xfrm>
                    <a:prstGeom prst="rect">
                      <a:avLst/>
                    </a:prstGeom>
                  </pic:spPr>
                </pic:pic>
              </a:graphicData>
            </a:graphic>
          </wp:anchor>
        </w:drawing>
      </w:r>
      <w:r>
        <w:rPr>
          <w:color w:val="034EA1"/>
        </w:rPr>
        <w:t>DEPARTMENT OF IMMIGRATION AND BORDER PROTECTION NOTICE</w:t>
      </w:r>
    </w:p>
    <w:p>
      <w:pPr>
        <w:spacing w:line="264" w:lineRule="auto" w:before="362"/>
        <w:ind w:left="1133" w:right="2221" w:firstLine="0"/>
        <w:jc w:val="left"/>
        <w:rPr>
          <w:rFonts w:ascii="Arial-BoldItalicMT"/>
          <w:b/>
          <w:i/>
          <w:sz w:val="40"/>
        </w:rPr>
      </w:pPr>
      <w:r>
        <w:rPr>
          <w:rFonts w:ascii="Arial-BoldItalicMT"/>
          <w:b/>
          <w:i/>
          <w:sz w:val="40"/>
        </w:rPr>
        <w:t>No.2017/34</w:t>
      </w:r>
    </w:p>
    <w:p>
      <w:pPr>
        <w:spacing w:line="264" w:lineRule="auto" w:before="237"/>
        <w:ind w:left="1133" w:right="1151" w:firstLine="0"/>
        <w:jc w:val="left"/>
        <w:rPr>
          <w:sz w:val="24"/>
        </w:rPr>
      </w:pPr>
      <w:r>
        <w:rPr>
          <w:b w:val="0"/>
          <w:i w:val="0"/>
          <w:sz w:val="24"/>
          <w:u w:val="none"/>
        </w:rPr>
        <w:t>On 27 November 2017, the Australian Bureau of Statistics released Australian National Accounts 2017-2018, which included the following information and figures:</w:t>
      </w:r>
      <w:r>
        <w:rPr>
          <w:i/>
          <w:sz w:val="24"/>
        </w:rPr>
      </w:r>
      <w:r>
        <w:rPr>
          <w:sz w:val="24"/>
        </w:rPr>
      </w:r>
    </w:p>
    <w:p>
      <w:pPr>
        <w:spacing w:line="264" w:lineRule="auto" w:before="117"/>
        <w:ind w:left="1133" w:right="1231" w:firstLine="0"/>
        <w:jc w:val="left"/>
        <w:rPr>
          <w:sz w:val="24"/>
        </w:rPr>
      </w:pPr>
      <w:r>
        <w:rPr>
          <w:b w:val="0"/>
          <w:i w:val="0"/>
          <w:sz w:val="24"/>
          <w:u w:val="none"/>
        </w:rPr>
        <w:t>Accordingly, the following table contains the changes to general rate of excise and customs duty rates on spirits, beer and tobacco in the 2017-18 financial year. The rates listed in brackets are the revised rates on 1 January 2018.</w:t>
      </w:r>
      <w:r>
        <w:rPr>
          <w:i/>
          <w:sz w:val="24"/>
        </w:rPr>
      </w:r>
      <w:r>
        <w:rPr>
          <w:sz w:val="24"/>
        </w:rPr>
      </w:r>
    </w:p>
    <w:p>
      <w:pPr>
        <w:pStyle w:val="BodyText"/>
        <w:spacing w:line="264" w:lineRule="auto" w:before="124"/>
        <w:ind w:left="1133" w:right="2005"/>
      </w:pPr>
      <w:r>
        <w:rPr/>
        <w:t>Customs Tariff Proposal No.1 (2017) received Royal Assent on 27 July 2017.</w:t>
      </w:r>
    </w:p>
    <w:p>
      <w:pPr>
        <w:pStyle w:val="BodyText"/>
        <w:spacing w:line="264" w:lineRule="auto" w:before="120"/>
        <w:ind w:left="1133" w:right="1367"/>
      </w:pPr>
      <w:r>
        <w:rPr/>
        <w:t>Please note that the 2018 CPI increases these goods by the normal rates of CPI adjustment. As this amendment was brought in to the 2017-18 Budget, the 2017-18 CPI has been divided by the previous rate of adjustment for 2017-18 to establish an indexation factor of 1.007. This factor has applied to all excise and customs duty rates since 1 January 2018. The 2017-18 CPI figures and relevant statistical codes are set out in Attachment A to this Notice.</w:t>
      </w:r>
    </w:p>
    <w:p>
      <w:pPr>
        <w:pStyle w:val="BodyText"/>
        <w:rPr>
          <w:sz w:val="20"/>
        </w:rPr>
      </w:pPr>
    </w:p>
    <w:p>
      <w:pPr>
        <w:pStyle w:val="BodyText"/>
        <w:spacing w:before="11"/>
        <w:rPr>
          <w:sz w:val="16"/>
        </w:rPr>
      </w:pPr>
    </w:p>
    <w:tbl>
      <w:tblPr>
        <w:tblW w:w="0" w:type="auto"/>
        <w:jc w:val="left"/>
        <w:tblInd w:w="1143"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691"/>
        <w:gridCol w:w="6940"/>
      </w:tblGrid>
      <w:tr>
        <w:trPr>
          <w:trHeight w:val="424" w:hRule="atLeast"/>
        </w:trPr>
        <w:tc>
          <w:tcPr>
            <w:tcW w:w="2691" w:type="dxa"/>
            <w:shd w:val="clear" w:color="auto" w:fill="E4E4E4"/>
          </w:tcPr>
          <w:p>
            <w:pPr>
              <w:pStyle w:val="TableParagraph"/>
              <w:ind w:left="110"/>
              <w:rPr>
                <w:b/>
                <w:sz w:val="24"/>
              </w:rPr>
            </w:pPr>
            <w:r>
              <w:rPr>
                <w:b/>
                <w:sz w:val="24"/>
              </w:rPr>
              <w:t>(02) 6275 6486</w:t>
            </w:r>
          </w:p>
        </w:tc>
        <w:tc>
          <w:tcPr>
            <w:tcW w:w="6940" w:type="dxa"/>
            <w:shd w:val="clear" w:color="auto" w:fill="E4E4E4"/>
          </w:tcPr>
          <w:p>
            <w:pPr>
              <w:pStyle w:val="TableParagraph"/>
              <w:rPr>
                <w:b/>
                <w:sz w:val="24"/>
              </w:rPr>
            </w:pPr>
            <w:r>
              <w:rPr>
                <w:b/>
                <w:sz w:val="24"/>
              </w:rPr>
              <w:t>E/C Branch</w:t>
            </w:r>
          </w:p>
        </w:tc>
      </w:tr>
      <w:tr>
        <w:trPr>
          <w:trHeight w:val="726" w:hRule="atLeast"/>
        </w:trPr>
        <w:tc>
          <w:tcPr>
            <w:tcW w:w="2691" w:type="dxa"/>
          </w:tcPr>
          <w:p>
            <w:pPr>
              <w:pStyle w:val="TableParagraph"/>
              <w:ind w:left="110"/>
              <w:rPr>
                <w:sz w:val="24"/>
              </w:rPr>
            </w:pPr>
            <w:r>
              <w:rPr>
                <w:sz w:val="24"/>
              </w:rPr>
              <w:t>Statistical Codes</w:t>
            </w:r>
          </w:p>
        </w:tc>
        <w:tc>
          <w:tcPr>
            <w:tcW w:w="6940" w:type="dxa"/>
          </w:tcPr>
          <w:p>
            <w:pPr>
              <w:pStyle w:val="TableParagraph"/>
              <w:spacing w:line="300" w:lineRule="atLeast" w:before="94"/>
              <w:ind w:right="426"/>
              <w:rPr>
                <w:sz w:val="24"/>
              </w:rPr>
            </w:pPr>
            <w:r>
              <w:rPr>
                <w:sz w:val="24"/>
              </w:rPr>
              <w:t># Unless otherwise indicated NZ, PG, FI, DC, LDC and SG rates are Free.  Operative 4/2/20 Unless otherwise indicated general rate applies for CA, CA, DC, LDC and SG.</w:t>
            </w:r>
          </w:p>
        </w:tc>
      </w:tr>
      <w:tr>
        <w:trPr>
          <w:trHeight w:val="424" w:hRule="atLeast"/>
        </w:trPr>
        <w:tc>
          <w:tcPr>
            <w:tcW w:w="2691" w:type="dxa"/>
          </w:tcPr>
          <w:p>
            <w:pPr>
              <w:pStyle w:val="TableParagraph"/>
              <w:ind w:left="110"/>
              <w:rPr>
                <w:sz w:val="24"/>
              </w:rPr>
            </w:pPr>
            <w:r>
              <w:rPr>
                <w:sz w:val="24"/>
              </w:rPr>
              <w:t>Unless indicated in Schedules 4A, 5, 6, 7, 8, 8B, 9, 10, 11 or 12 rates for Singaporean, US, Thai, Chilean, AANZ, Trans-Pacific Partnership, Malaysian, Korean, Japanese and Chinese originating goods, respectively, are Free. DCS denotes the rate for countries and places listed in Part 4 of Schedule 1 to this Act.</w:t>
            </w:r>
          </w:p>
        </w:tc>
        <w:tc>
          <w:tcPr>
            <w:tcW w:w="6940" w:type="dxa"/>
          </w:tcPr>
          <w:p>
            <w:pPr>
              <w:pStyle w:val="TableParagraph"/>
              <w:rPr>
                <w:sz w:val="24"/>
              </w:rPr>
            </w:pPr>
            <w:r>
              <w:rPr>
                <w:sz w:val="24"/>
              </w:rPr>
              <w:t>DCT denotes the rate for HK, KR, SG and TW.</w:t>
            </w:r>
          </w:p>
        </w:tc>
      </w:tr>
      <w:tr>
        <w:trPr>
          <w:trHeight w:val="422" w:hRule="atLeast"/>
        </w:trPr>
        <w:tc>
          <w:tcPr>
            <w:tcW w:w="2691" w:type="dxa"/>
          </w:tcPr>
          <w:p>
            <w:pPr>
              <w:pStyle w:val="TableParagraph"/>
              <w:ind w:left="110"/>
              <w:rPr>
                <w:sz w:val="24"/>
              </w:rPr>
            </w:pPr>
            <w:r>
              <w:rPr>
                <w:sz w:val="24"/>
              </w:rPr>
              <w:t>If no DCT rate shown, DCS rate applies. If no DCT or DCS rate shown, general rate applies.</w:t>
            </w:r>
          </w:p>
        </w:tc>
        <w:tc>
          <w:tcPr>
            <w:tcW w:w="6940" w:type="dxa"/>
          </w:tcPr>
          <w:p>
            <w:pPr>
              <w:pStyle w:val="TableParagraph"/>
              <w:rPr>
                <w:sz w:val="24"/>
              </w:rPr>
            </w:pPr>
            <w:r>
              <w:rPr>
                <w:sz w:val="24"/>
              </w:rPr>
              <w:t>If no DCT or DCS rate shown, general rate applies.</w:t>
            </w:r>
          </w:p>
        </w:tc>
      </w:tr>
      <w:tr>
        <w:trPr>
          <w:trHeight w:val="424" w:hRule="atLeast"/>
        </w:trPr>
        <w:tc>
          <w:tcPr>
            <w:tcW w:w="2691" w:type="dxa"/>
          </w:tcPr>
          <w:p>
            <w:pPr>
              <w:pStyle w:val="TableParagraph"/>
              <w:ind w:left="110"/>
              <w:rPr>
                <w:sz w:val="24"/>
              </w:rPr>
            </w:pPr>
            <w:r>
              <w:rPr>
                <w:sz w:val="24"/>
              </w:rPr>
              <w:t>Section 4</w:t>
            </w:r>
          </w:p>
        </w:tc>
        <w:tc>
          <w:tcPr>
            <w:tcW w:w="6940" w:type="dxa"/>
          </w:tcPr>
          <w:p>
            <w:pPr>
              <w:pStyle w:val="TableParagraph"/>
              <w:rPr>
                <w:sz w:val="24"/>
              </w:rPr>
            </w:pPr>
            <w:r>
              <w:rPr>
                <w:sz w:val="24"/>
              </w:rPr>
              <w:t>CUSTOMS TARIFF SCHEDULE 8B</w:t>
            </w:r>
          </w:p>
        </w:tc>
      </w:tr>
      <w:tr>
        <w:trPr>
          <w:trHeight w:val="425" w:hRule="atLeast"/>
        </w:trPr>
        <w:tc>
          <w:tcPr>
            <w:tcW w:w="2691" w:type="dxa"/>
          </w:tcPr>
          <w:p>
            <w:pPr>
              <w:pStyle w:val="TableParagraph"/>
              <w:ind w:left="110"/>
              <w:rPr>
                <w:sz w:val="24"/>
              </w:rPr>
            </w:pPr>
            <w:r>
              <w:rPr>
                <w:sz w:val="24"/>
              </w:rPr>
              <w:t>US ORIGINATING GOODS</w:t>
            </w:r>
          </w:p>
        </w:tc>
        <w:tc>
          <w:tcPr>
            <w:tcW w:w="6940" w:type="dxa"/>
          </w:tcPr>
          <w:p>
            <w:pPr>
              <w:pStyle w:val="TableParagraph"/>
              <w:rPr>
                <w:sz w:val="24"/>
              </w:rPr>
            </w:pPr>
            <w:r>
              <w:rPr>
                <w:sz w:val="24"/>
              </w:rPr>
              <w:t>Schedule 8B/8 Heading or</w:t>
            </w:r>
          </w:p>
        </w:tc>
      </w:tr>
    </w:tbl>
    <w:p>
      <w:pPr>
        <w:spacing w:after="0"/>
        <w:rPr>
          <w:sz w:val="24"/>
        </w:rPr>
        <w:sectPr>
          <w:type w:val="continuous"/>
          <w:pgSz w:w="11910" w:h="16840"/>
          <w:pgMar w:top="0" w:bottom="0" w:left="0" w:right="0"/>
        </w:sectPr>
      </w:pPr>
    </w:p>
    <w:p>
      <w:pPr>
        <w:pStyle w:val="BodyText"/>
        <w:rPr>
          <w:sz w:val="20"/>
        </w:rPr>
      </w:pPr>
    </w:p>
    <w:p>
      <w:pPr>
        <w:pStyle w:val="BodyText"/>
        <w:rPr>
          <w:sz w:val="20"/>
        </w:rPr>
      </w:pPr>
    </w:p>
    <w:p>
      <w:pPr>
        <w:pStyle w:val="BodyText"/>
        <w:spacing w:before="10"/>
      </w:pPr>
    </w:p>
    <w:p>
      <w:pPr>
        <w:pStyle w:val="Heading1"/>
      </w:pPr>
      <w:r>
        <w:rPr/>
        <w:drawing>
          <wp:anchor distT="0" distB="0" distL="0" distR="0" allowOverlap="1" layoutInCell="1" locked="0" behindDoc="0" simplePos="0" relativeHeight="15729664">
            <wp:simplePos x="0" y="0"/>
            <wp:positionH relativeFrom="page">
              <wp:posOffset>4446</wp:posOffset>
            </wp:positionH>
            <wp:positionV relativeFrom="paragraph">
              <wp:posOffset>-474016</wp:posOffset>
            </wp:positionV>
            <wp:extent cx="7552944" cy="183514"/>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552944" cy="183514"/>
                    </a:xfrm>
                    <a:prstGeom prst="rect">
                      <a:avLst/>
                    </a:prstGeom>
                  </pic:spPr>
                </pic:pic>
              </a:graphicData>
            </a:graphic>
          </wp:anchor>
        </w:drawing>
      </w:r>
      <w:r>
        <w:rPr/>
        <w:t>Note to importers: All duty rates listed in this Note were previously indexed by the indexation factor specified in</w:t>
      </w:r>
    </w:p>
    <w:p>
      <w:pPr>
        <w:pStyle w:val="BodyText"/>
        <w:spacing w:line="264" w:lineRule="auto" w:before="147"/>
        <w:ind w:left="1133" w:right="1259"/>
      </w:pPr>
      <w:r>
        <w:rPr/>
        <w:t>Item 38 of Schedule 3 of the Customs Tariff Act 1995.</w:t>
      </w:r>
    </w:p>
    <w:p>
      <w:pPr>
        <w:pStyle w:val="BodyText"/>
        <w:spacing w:line="264" w:lineRule="auto" w:before="120"/>
        <w:ind w:left="1133" w:right="1312"/>
      </w:pPr>
      <w:r>
        <w:rPr/>
        <w:t>Any queries regarding the indexation of these customs and excise tariff items can be directed to the Manager, Tariff Legislation, Australian Taxation Office, on telephone number (02) 6275 6556.</w:t>
      </w:r>
    </w:p>
    <w:p>
      <w:pPr>
        <w:spacing w:line="264" w:lineRule="auto" w:before="120"/>
        <w:ind w:left="1133" w:right="1299" w:firstLine="0"/>
        <w:jc w:val="left"/>
        <w:rPr>
          <w:i/>
          <w:sz w:val="24"/>
        </w:rPr>
      </w:pPr>
      <w:r>
        <w:rPr>
          <w:b w:val="0"/>
          <w:i w:val="0"/>
          <w:sz w:val="24"/>
          <w:u w:val="none"/>
        </w:rPr>
        <w:t>This Notice also sets out the new rates of customs and excise duty for Thai originating goods, respectively. A copy of the new rates can be obtained by contacting the Customs Tariff Branch in your State or Territory.</w:t>
      </w:r>
      <w:r>
        <w:rPr>
          <w:i/>
          <w:sz w:val="24"/>
        </w:rPr>
      </w:r>
    </w:p>
    <w:p>
      <w:pPr>
        <w:pStyle w:val="Heading1"/>
        <w:spacing w:before="120"/>
      </w:pPr>
      <w:r>
        <w:rPr/>
        <w:t>INDEXATION INFORMATION</w:t>
      </w:r>
    </w:p>
    <w:p>
      <w:pPr>
        <w:spacing w:line="264" w:lineRule="auto" w:before="146"/>
        <w:ind w:left="1133" w:right="1152" w:firstLine="0"/>
        <w:jc w:val="left"/>
        <w:rPr>
          <w:b/>
          <w:sz w:val="24"/>
        </w:rPr>
      </w:pPr>
      <w:r>
        <w:rPr>
          <w:b w:val="0"/>
          <w:i/>
          <w:sz w:val="24"/>
          <w:u w:val="none"/>
        </w:rPr>
        <w:t xml:space="preserve">In addition, the Australian Bureau of Statistics released revised </w:t>
      </w:r>
      <w:r>
        <w:rPr>
          <w:i/>
          <w:sz w:val="24"/>
        </w:rPr>
      </w:r>
      <w:r>
        <w:rPr>
          <w:sz w:val="24"/>
        </w:rPr>
      </w:r>
      <w:r>
        <w:rPr>
          <w:spacing w:val="-21"/>
          <w:sz w:val="24"/>
        </w:rPr>
      </w:r>
      <w:hyperlink r:id="rId8">
        <w:r>
          <w:rPr>
            <w:b/>
            <w:color w:val="006FC0"/>
            <w:sz w:val="24"/>
            <w:u w:val="thick" w:color="006FC0"/>
          </w:rPr>
          <w:t>https://www.legislation.gov.au/Details/F2018L01624</w:t>
        </w:r>
      </w:hyperlink>
    </w:p>
    <w:p>
      <w:pPr>
        <w:pStyle w:val="Heading1"/>
        <w:spacing w:before="123"/>
      </w:pPr>
      <w:r>
        <w:rPr/>
        <w:t>Material</w:t>
      </w:r>
    </w:p>
    <w:p>
      <w:pPr>
        <w:spacing w:before="147"/>
        <w:ind w:left="1133" w:right="0" w:firstLine="0"/>
        <w:jc w:val="left"/>
        <w:rPr>
          <w:b/>
          <w:sz w:val="24"/>
        </w:rPr>
      </w:pPr>
      <w:r>
        <w:rPr>
          <w:sz w:val="24"/>
        </w:rPr>
        <w:t xml:space="preserve">Statistical Code (MC) Number and the new MC Number 002 will be used to calculate the new statistical codes. These changes reflect the changing composition of the working population and the application of new statistical codes. </w:t>
      </w:r>
      <w:hyperlink r:id="rId9">
        <w:r>
          <w:rPr>
            <w:b/>
            <w:color w:val="006FC0"/>
            <w:sz w:val="24"/>
            <w:u w:val="thick" w:color="006FC0"/>
          </w:rPr>
          <w:t>traderevenue@homeaffairs.gov.au</w:t>
        </w:r>
      </w:hyperlink>
    </w:p>
    <w:p>
      <w:pPr>
        <w:pStyle w:val="BodyText"/>
        <w:rPr>
          <w:b/>
          <w:sz w:val="20"/>
        </w:rPr>
      </w:pPr>
    </w:p>
    <w:p>
      <w:pPr>
        <w:pStyle w:val="BodyText"/>
        <w:rPr>
          <w:b/>
          <w:sz w:val="20"/>
        </w:rPr>
      </w:pPr>
    </w:p>
    <w:p>
      <w:pPr>
        <w:pStyle w:val="BodyText"/>
        <w:spacing w:before="1"/>
        <w:rPr>
          <w:b/>
          <w:sz w:val="28"/>
        </w:rPr>
      </w:pPr>
    </w:p>
    <w:p>
      <w:pPr>
        <w:pStyle w:val="BodyText"/>
        <w:spacing w:before="93"/>
        <w:ind w:left="1133"/>
      </w:pPr>
      <w:r>
        <w:rPr/>
        <w:t>Enquiries</w:t>
      </w:r>
    </w:p>
    <w:p>
      <w:pPr>
        <w:pStyle w:val="BodyText"/>
        <w:spacing w:before="9"/>
        <w:rPr>
          <w:sz w:val="28"/>
        </w:rPr>
      </w:pPr>
    </w:p>
    <w:p>
      <w:pPr>
        <w:pStyle w:val="BodyText"/>
        <w:spacing w:line="264" w:lineRule="auto"/>
        <w:ind w:left="1133" w:right="8649"/>
      </w:pPr>
      <w:r>
        <w:rPr/>
        <w:t>Any inquiries concerning these matters should be directed to:</w:t>
      </w:r>
    </w:p>
    <w:p>
      <w:pPr>
        <w:pStyle w:val="BodyText"/>
        <w:spacing w:line="264" w:lineRule="auto"/>
        <w:ind w:left="1133" w:right="3491"/>
      </w:pPr>
      <w:r>
        <w:rPr/>
        <w:t>The Australian Bureau of Statistics Pty Limited in Sydney CANBERRA ACT 2600</w:t>
      </w:r>
    </w:p>
    <w:p>
      <w:pPr>
        <w:pStyle w:val="BodyText"/>
        <w:ind w:left="1133"/>
      </w:pPr>
      <w:r>
        <w:rPr/>
        <w:t>by telephone (02) 6275 6514</w:t>
      </w:r>
    </w:p>
    <w:p>
      <w:pPr>
        <w:pStyle w:val="BodyText"/>
        <w:rPr>
          <w:sz w:val="26"/>
        </w:rPr>
      </w:pPr>
    </w:p>
    <w:p>
      <w:pPr>
        <w:pStyle w:val="BodyText"/>
        <w:spacing w:before="2"/>
        <w:rPr>
          <w:sz w:val="29"/>
        </w:rPr>
      </w:pPr>
    </w:p>
    <w:p>
      <w:pPr>
        <w:pStyle w:val="BodyText"/>
        <w:ind w:left="1133"/>
      </w:pPr>
      <w:r>
        <w:rPr/>
        <w:t>by facsimile (06) 6288 1891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6"/>
        </w:rPr>
      </w:pPr>
    </w:p>
    <w:p>
      <w:pPr>
        <w:spacing w:before="96"/>
        <w:ind w:left="6440" w:right="0" w:firstLine="0"/>
        <w:jc w:val="left"/>
        <w:rPr>
          <w:sz w:val="16"/>
        </w:rPr>
      </w:pPr>
      <w:r>
        <w:rPr>
          <w:sz w:val="16"/>
        </w:rPr>
        <w:t>by facsimile (06) 6288 1894 or by telephone</w:t>
      </w:r>
    </w:p>
    <w:sectPr>
      <w:pgSz w:w="11910" w:h="16840"/>
      <w:pgMar w:top="5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4"/>
      <w:szCs w:val="24"/>
      <w:lang w:val="en-au" w:eastAsia="en-US" w:bidi="ar-SA"/>
    </w:rPr>
  </w:style>
  <w:style w:styleId="Heading1" w:type="paragraph">
    <w:name w:val="Heading 1"/>
    <w:basedOn w:val="Normal"/>
    <w:uiPriority w:val="1"/>
    <w:qFormat/>
    <w:pPr>
      <w:spacing w:before="92"/>
      <w:ind w:left="1133"/>
      <w:outlineLvl w:val="1"/>
    </w:pPr>
    <w:rPr>
      <w:rFonts w:ascii="Arial" w:hAnsi="Arial" w:eastAsia="Arial" w:cs="Arial"/>
      <w:b/>
      <w:bCs/>
      <w:sz w:val="24"/>
      <w:szCs w:val="24"/>
      <w:lang w:val="en-au" w:eastAsia="en-US" w:bidi="ar-SA"/>
    </w:rPr>
  </w:style>
  <w:style w:styleId="Title" w:type="paragraph">
    <w:name w:val="Title"/>
    <w:basedOn w:val="Normal"/>
    <w:uiPriority w:val="1"/>
    <w:qFormat/>
    <w:pPr>
      <w:spacing w:before="260"/>
      <w:ind w:left="4741" w:right="1538" w:hanging="3116"/>
    </w:pPr>
    <w:rPr>
      <w:rFonts w:ascii="Arial" w:hAnsi="Arial" w:eastAsia="Arial" w:cs="Arial"/>
      <w:b/>
      <w:bCs/>
      <w:sz w:val="44"/>
      <w:szCs w:val="44"/>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spacing w:before="118"/>
      <w:ind w:left="107"/>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hyperlink" Target="https://www.legislation.gov.au/Details/F2018L01624" TargetMode="External"/><Relationship Id="rId9" Type="http://schemas.openxmlformats.org/officeDocument/2006/relationships/hyperlink" Target="mailto:traderevenue@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subheading in</dc:creator>
  <cp:keywords>* Unless otherwise indicated rates for Singaporean, US, Thai, Chilean, AANZ, Trans-Pacific Partnership, Malaysian, Korean, Japanese and Chinese originating goods, respectively, are Free. DCT denotes the rate for HK, KR, SG and TW.</cp:keywords>
  <dc:subject>If no DCT or DCS rate shown, general rate applies. If no DCT or DCS rate shown, general rate applies.</dc:subject>
  <dc:title>If no DCT or DCS rate shown, general rate applies.</dc:title>
  <dcterms:created xsi:type="dcterms:W3CDTF">2020-12-09T23:12:43Z</dcterms:created>
  <dcterms:modified xsi:type="dcterms:W3CDTF">2020-12-09T23:12:43Z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2018-12-21T00:00:00Z</vt:filetime>
  </property>
  <property fmtid="{D5CDD505-2E9C-101B-9397-08002B2CF9AE}" pid="3" name="Creator">
    <vt:lpwstr>Microsoft® Word 2016</vt:lpwstr>
  </property>
  <property fmtid="{D5CDD505-2E9C-101B-9397-08002B2CF9AE}" pid="4" name="LastSaved">
    <vt:filetime>2020-12-09T00:00:00Z</vt:filetime>
  </property>
</Properties>
</file>