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line="319" w:lineRule="auto"/>
      </w:pPr>
      <w:r>
        <w:rPr/>
        <w:pict>
          <v:group style="position:absolute;margin-left:0pt;margin-top:-138.424805pt;width:594.85pt;height:116pt;mso-position-horizontal-relative:page;mso-position-vertical-relative:paragraph;z-index:15728640" coordorigin="0,-2768" coordsize="11897,2320">
            <v:shape style="position:absolute;left:0;top:-2769;width:11897;height:2320" type="#_x0000_t75" stroked="false">
              <v:imagedata r:id="rId5" o:title=""/>
            </v:shape>
            <v:shape style="position:absolute;left:679;top:-2091;width:1368;height:1015" type="#_x0000_t75" stroked="false">
              <v:imagedata r:id="rId6" o:title=""/>
            </v:shape>
            <v:line style="position:absolute" from="2173,-1453" to="5096,-1453" stroked="true" strokeweight=".748494pt" strokecolor="#ffffff">
              <v:stroke dashstyle="solid"/>
            </v:line>
            <v:shapetype id="_x0000_t202" o:spt="202" coordsize="21600,21600" path="m,l,21600r21600,l21600,xe">
              <v:stroke joinstyle="miter"/>
              <v:path gradientshapeok="t" o:connecttype="rect"/>
            </v:shapetype>
            <v:shape style="position:absolute;left:0;top:-2769;width:11897;height:2320" type="#_x0000_t202" filled="false" stroked="false">
              <v:textbox inset="0,0,0,0">
                <w:txbxContent>
                  <w:p>
                    <w:pPr>
                      <w:spacing w:line="240" w:lineRule="auto" w:before="0"/>
                      <w:rPr>
                        <w:sz w:val="28"/>
                      </w:rPr>
                    </w:pPr>
                  </w:p>
                  <w:p>
                    <w:pPr>
                      <w:spacing w:line="240" w:lineRule="auto" w:before="0"/>
                      <w:rPr>
                        <w:sz w:val="28"/>
                      </w:rPr>
                    </w:pPr>
                  </w:p>
                  <w:p>
                    <w:pPr>
                      <w:spacing w:line="240" w:lineRule="auto" w:before="10"/>
                      <w:rPr>
                        <w:sz w:val="25"/>
                      </w:rPr>
                    </w:pPr>
                  </w:p>
                  <w:p>
                    <w:pPr>
                      <w:spacing w:line="369" w:lineRule="auto" w:before="0"/>
                      <w:ind w:left="2158" w:right="6074" w:firstLine="0"/>
                      <w:jc w:val="left"/>
                      <w:rPr>
                        <w:rFonts w:ascii="Times New Roman"/>
                        <w:b/>
                        <w:sz w:val="26"/>
                      </w:rPr>
                    </w:pPr>
                    <w:r>
                      <w:rPr>
                        <w:rFonts w:ascii="Times New Roman"/>
                        <w:b/>
                        <w:color w:val="FFFFFF"/>
                        <w:spacing w:val="-9"/>
                        <w:sz w:val="26"/>
                      </w:rPr>
                      <w:t>Australian </w:t>
                    </w:r>
                    <w:r>
                      <w:rPr>
                        <w:rFonts w:ascii="Times New Roman"/>
                        <w:b/>
                        <w:color w:val="FFFFFF"/>
                        <w:spacing w:val="-11"/>
                        <w:sz w:val="26"/>
                      </w:rPr>
                      <w:t>Government </w:t>
                    </w:r>
                    <w:r>
                      <w:rPr>
                        <w:rFonts w:ascii="Times New Roman"/>
                        <w:b/>
                        <w:color w:val="FFFFFF"/>
                        <w:spacing w:val="-10"/>
                        <w:sz w:val="26"/>
                      </w:rPr>
                      <w:t>Department </w:t>
                    </w:r>
                    <w:r>
                      <w:rPr>
                        <w:rFonts w:ascii="Times New Roman"/>
                        <w:b/>
                        <w:color w:val="FFFFFF"/>
                        <w:spacing w:val="-6"/>
                        <w:sz w:val="26"/>
                      </w:rPr>
                      <w:t>of </w:t>
                    </w:r>
                    <w:r>
                      <w:rPr>
                        <w:rFonts w:ascii="Times New Roman"/>
                        <w:b/>
                        <w:color w:val="FFFFFF"/>
                        <w:spacing w:val="-10"/>
                        <w:sz w:val="26"/>
                      </w:rPr>
                      <w:t>Home </w:t>
                    </w:r>
                    <w:r>
                      <w:rPr>
                        <w:rFonts w:ascii="Times New Roman"/>
                        <w:b/>
                        <w:color w:val="FFFFFF"/>
                        <w:spacing w:val="-9"/>
                        <w:sz w:val="26"/>
                      </w:rPr>
                      <w:t>Affairs</w:t>
                    </w:r>
                  </w:p>
                </w:txbxContent>
              </v:textbox>
              <w10:wrap type="none"/>
            </v:shape>
            <w10:wrap type="none"/>
          </v:group>
        </w:pict>
      </w:r>
      <w:r>
        <w:rPr>
          <w:color w:val="034EA1"/>
        </w:rPr>
        <w:t>Australian Customs Notice 2001 16</w:t>
      </w:r>
    </w:p>
    <w:p>
      <w:pPr>
        <w:spacing w:before="88"/>
        <w:ind w:left="1428" w:right="1428" w:firstLine="0"/>
        <w:jc w:val="center"/>
        <w:rPr>
          <w:b/>
          <w:sz w:val="28"/>
        </w:rPr>
      </w:pPr>
      <w:r>
        <w:rPr>
          <w:b/>
          <w:sz w:val="28"/>
        </w:rPr>
        <w:t>COMPLIANCE NOTICE No. 3 OF 2001</w:t>
      </w:r>
    </w:p>
    <w:p>
      <w:pPr>
        <w:pStyle w:val="BodyText"/>
        <w:spacing w:before="6"/>
        <w:rPr>
          <w:b/>
          <w:sz w:val="23"/>
        </w:rPr>
      </w:pPr>
    </w:p>
    <w:p>
      <w:pPr>
        <w:pStyle w:val="Heading1"/>
      </w:pPr>
      <w:r>
        <w:rPr/>
        <w:t>AUSTRALIAN CUSTOMS SERVICE</w:t>
      </w:r>
    </w:p>
    <w:p>
      <w:pPr>
        <w:pStyle w:val="BodyText"/>
        <w:spacing w:line="264" w:lineRule="auto" w:before="148"/>
        <w:ind w:left="1133" w:right="1907"/>
      </w:pPr>
      <w:r>
        <w:rPr/>
        <w:t>At 22 December 2001 the Australian Customs Service (Customs) will change from an import licensing process to a prosecution process for exporting goods covered by the Customs Act 1901 to importers.</w:t>
      </w:r>
    </w:p>
    <w:p>
      <w:pPr>
        <w:pStyle w:val="ListParagraph"/>
        <w:numPr>
          <w:ilvl w:val="0"/>
          <w:numId w:val="1"/>
        </w:numPr>
        <w:tabs>
          <w:tab w:pos="1853" w:val="left" w:leader="none"/>
          <w:tab w:pos="1854" w:val="left" w:leader="none"/>
        </w:tabs>
        <w:spacing w:line="240" w:lineRule="auto" w:before="135" w:after="0"/>
        <w:ind w:left="1853" w:right="0" w:hanging="361"/>
        <w:jc w:val="left"/>
        <w:rPr>
          <w:sz w:val="20"/>
        </w:rPr>
      </w:pPr>
      <w:r>
        <w:rPr>
          <w:b w:val="0"/>
          <w:i w:val="0"/>
          <w:sz w:val="20"/>
          <w:u w:val="none"/>
        </w:rPr>
        <w:t>This has been an unnecessary expense as the current licensing processes has been successful in addressing the following issues:</w:t>
      </w:r>
      <w:r>
        <w:rPr>
          <w:spacing w:val="-7"/>
          <w:sz w:val="20"/>
        </w:rPr>
      </w:r>
      <w:r>
        <w:rPr>
          <w:sz w:val="20"/>
        </w:rPr>
      </w:r>
    </w:p>
    <w:p>
      <w:pPr>
        <w:pStyle w:val="ListParagraph"/>
        <w:numPr>
          <w:ilvl w:val="0"/>
          <w:numId w:val="1"/>
        </w:numPr>
        <w:tabs>
          <w:tab w:pos="1853" w:val="left" w:leader="none"/>
          <w:tab w:pos="1854" w:val="left" w:leader="none"/>
        </w:tabs>
        <w:spacing w:line="240" w:lineRule="auto" w:before="157" w:after="0"/>
        <w:ind w:left="1853" w:right="0" w:hanging="361"/>
        <w:jc w:val="left"/>
        <w:rPr>
          <w:sz w:val="20"/>
        </w:rPr>
      </w:pPr>
      <w:r>
        <w:rPr>
          <w:b w:val="0"/>
          <w:i w:val="0"/>
          <w:sz w:val="20"/>
          <w:u w:val="none"/>
        </w:rPr>
        <w:t>the importation of goods by international travellers</w:t>
      </w:r>
      <w:r>
        <w:rPr>
          <w:spacing w:val="-7"/>
          <w:sz w:val="20"/>
        </w:rPr>
      </w:r>
      <w:r>
        <w:rPr>
          <w:sz w:val="20"/>
        </w:rPr>
      </w:r>
    </w:p>
    <w:p>
      <w:pPr>
        <w:pStyle w:val="ListParagraph"/>
        <w:numPr>
          <w:ilvl w:val="0"/>
          <w:numId w:val="1"/>
        </w:numPr>
        <w:tabs>
          <w:tab w:pos="1853" w:val="left" w:leader="none"/>
          <w:tab w:pos="1854" w:val="left" w:leader="none"/>
        </w:tabs>
        <w:spacing w:line="240" w:lineRule="auto" w:before="156" w:after="0"/>
        <w:ind w:left="1853" w:right="0" w:hanging="361"/>
        <w:jc w:val="left"/>
        <w:rPr>
          <w:sz w:val="20"/>
        </w:rPr>
      </w:pPr>
      <w:r>
        <w:rPr>
          <w:b w:val="0"/>
          <w:i w:val="0"/>
          <w:sz w:val="20"/>
          <w:u w:val="none"/>
        </w:rPr>
        <w:t>the failure of local authorities to retain evidence of customs brokers</w:t>
      </w:r>
      <w:r>
        <w:rPr>
          <w:spacing w:val="-1"/>
          <w:sz w:val="20"/>
        </w:rPr>
      </w:r>
      <w:r>
        <w:rPr>
          <w:sz w:val="20"/>
        </w:rPr>
      </w:r>
    </w:p>
    <w:p>
      <w:pPr>
        <w:pStyle w:val="ListParagraph"/>
        <w:numPr>
          <w:ilvl w:val="0"/>
          <w:numId w:val="1"/>
        </w:numPr>
        <w:tabs>
          <w:tab w:pos="1853" w:val="left" w:leader="none"/>
          <w:tab w:pos="1854" w:val="left" w:leader="none"/>
        </w:tabs>
        <w:spacing w:line="240" w:lineRule="auto" w:before="156" w:after="0"/>
        <w:ind w:left="1853" w:right="0" w:hanging="361"/>
        <w:jc w:val="left"/>
        <w:rPr>
          <w:sz w:val="20"/>
        </w:rPr>
      </w:pPr>
      <w:r>
        <w:rPr>
          <w:b w:val="0"/>
          <w:i w:val="0"/>
          <w:sz w:val="20"/>
          <w:u w:val="none"/>
        </w:rPr>
        <w:t>the failure of Customs to prosecute breaches of customs law</w:t>
      </w:r>
      <w:r>
        <w:rPr>
          <w:spacing w:val="-4"/>
          <w:sz w:val="20"/>
        </w:rPr>
      </w:r>
      <w:r>
        <w:rPr>
          <w:sz w:val="20"/>
        </w:rPr>
      </w:r>
    </w:p>
    <w:p>
      <w:pPr>
        <w:pStyle w:val="BodyText"/>
        <w:spacing w:line="264" w:lineRule="auto" w:before="142"/>
        <w:ind w:left="1133" w:right="1254"/>
      </w:pPr>
      <w:r>
        <w:rPr>
          <w:b w:val="0"/>
          <w:i w:val="0"/>
          <w:u w:val="none"/>
        </w:rPr>
        <w:t>Importers and brokers in Customs Compliance Compliance Operations (CCO) should be aware that the import licensing process will change to provide the same level of protection to importers and to safeguard the privacy and private information of Customs users.</w:t>
      </w:r>
      <w:r>
        <w:rPr>
          <w:w w:val="95"/>
        </w:rPr>
      </w:r>
      <w:hyperlink r:id="rId7">
        <w:r>
          <w:rPr>
            <w:w w:val="95"/>
            <w:u w:val="single"/>
          </w:rPr>
          <w:t>https://archive.homeaffairs.gov.au/busi/cargo-support-trade-and-goods/importing-goods/tariff-classification-</w:t>
        </w:r>
      </w:hyperlink>
      <w:r>
        <w:rPr>
          <w:w w:val="95"/>
        </w:rPr>
      </w:r>
      <w:hyperlink r:id="rId7">
        <w:r>
          <w:rPr>
            <w:u w:val="single"/>
          </w:rPr>
          <w:t>of-goods/current-tariff-classification</w:t>
        </w:r>
      </w:hyperlink>
      <w:r>
        <w:rPr/>
      </w:r>
    </w:p>
    <w:p>
      <w:pPr>
        <w:pStyle w:val="BodyText"/>
        <w:spacing w:before="119"/>
        <w:ind w:left="1133"/>
      </w:pPr>
      <w:r>
        <w:rPr/>
        <w:t>As part of these changes, Customs will cease administering licensing functions for the internal control of customs warehouse reports and the use of warehouse reports by Customs.</w:t>
      </w:r>
    </w:p>
    <w:p>
      <w:pPr>
        <w:pStyle w:val="Heading1"/>
        <w:spacing w:before="146"/>
      </w:pPr>
      <w:r>
        <w:rPr/>
        <w:t>CUSTOMS SERVICE ACT 1901</w:t>
      </w:r>
    </w:p>
    <w:p>
      <w:pPr>
        <w:pStyle w:val="BodyText"/>
        <w:spacing w:line="264" w:lineRule="auto" w:before="145"/>
        <w:ind w:left="1133" w:right="1302"/>
      </w:pPr>
      <w:r>
        <w:rPr>
          <w:b w:val="0"/>
          <w:i w:val="0"/>
          <w:u w:val="none"/>
        </w:rPr>
        <w:t>The Customs Act 1901 covers a range of items, including goods subject to Customs control at a registered customs warehouse.</w:t>
      </w:r>
      <w:hyperlink r:id="rId8">
        <w:r>
          <w:rPr>
            <w:u w:val="single"/>
          </w:rPr>
          <w:t>https://dfat.gov.au/trade/agreements/in-force/aanzfta/official-</w:t>
        </w:r>
      </w:hyperlink>
      <w:r>
        <w:rPr/>
      </w:r>
      <w:hyperlink r:id="rId8">
        <w:r>
          <w:rPr>
            <w:u w:val="single"/>
          </w:rPr>
          <w:t>documents/Pages/official-documents.aspx</w:t>
        </w:r>
      </w:hyperlink>
      <w:r>
        <w:rPr/>
      </w:r>
    </w:p>
    <w:p>
      <w:pPr>
        <w:spacing w:line="266" w:lineRule="auto" w:before="119"/>
        <w:ind w:left="1133" w:right="1596" w:firstLine="0"/>
        <w:jc w:val="left"/>
        <w:rPr>
          <w:sz w:val="20"/>
        </w:rPr>
      </w:pPr>
      <w:r>
        <w:rPr>
          <w:b w:val="0"/>
          <w:i w:val="0"/>
          <w:sz w:val="20"/>
          <w:u w:val="none"/>
        </w:rPr>
        <w:t>Customs is responsible for the management of the warehouse network and for the clearance and administration of warehouse cargo by the warehouse network. Customs is responsible for maintaining accurate reporting requirements and for providing access to information held by the customs broker/s at a warehouse where goods are to be held.</w:t>
      </w:r>
      <w:r>
        <w:rPr>
          <w:i/>
          <w:sz w:val="20"/>
        </w:rPr>
      </w:r>
      <w:r>
        <w:rPr>
          <w:sz w:val="20"/>
        </w:rPr>
      </w:r>
    </w:p>
    <w:p>
      <w:pPr>
        <w:pStyle w:val="Heading1"/>
        <w:spacing w:before="115"/>
      </w:pPr>
      <w:r>
        <w:rPr/>
        <w:t>COMMERCE NOTICES OF OBJECTION</w:t>
      </w:r>
    </w:p>
    <w:p>
      <w:pPr>
        <w:pStyle w:val="BodyText"/>
        <w:spacing w:before="148"/>
        <w:ind w:left="1133"/>
      </w:pPr>
      <w:r>
        <w:rPr/>
        <w:t>The following persons have lodged Notices of Objection under section 153ZJ of the Customs Act 1901 relating to this Notice.</w:t>
      </w:r>
    </w:p>
    <w:p>
      <w:pPr>
        <w:pStyle w:val="BodyText"/>
        <w:spacing w:before="10"/>
        <w:rPr>
          <w:sz w:val="22"/>
        </w:rPr>
      </w:pPr>
    </w:p>
    <w:p>
      <w:pPr>
        <w:pStyle w:val="Heading1"/>
      </w:pPr>
      <w:r>
        <w:rPr/>
        <w:t>Saul Robert BAYS</w:t>
      </w:r>
    </w:p>
    <w:p>
      <w:pPr>
        <w:pStyle w:val="BodyText"/>
        <w:spacing w:line="266" w:lineRule="auto" w:before="146"/>
        <w:ind w:left="1133" w:right="3230"/>
      </w:pPr>
      <w:r>
        <w:rPr/>
        <w:t xml:space="preserve">Any person wishing to make written representation in respect of these Notices should address their correspondence to: </w:t>
      </w:r>
      <w:hyperlink r:id="rId9">
        <w:r>
          <w:rPr>
            <w:u w:val="single"/>
          </w:rPr>
          <w:t>tradepolicy1@homeaffairs.gov.au</w:t>
        </w:r>
        <w:r>
          <w:rPr/>
          <w:t>.</w:t>
        </w:r>
      </w:hyperlink>
    </w:p>
    <w:p>
      <w:pPr>
        <w:pStyle w:val="BodyText"/>
      </w:pPr>
    </w:p>
    <w:p>
      <w:pPr>
        <w:pStyle w:val="BodyText"/>
        <w:spacing w:before="1"/>
        <w:rPr>
          <w:sz w:val="21"/>
        </w:rPr>
      </w:pPr>
    </w:p>
    <w:p>
      <w:pPr>
        <w:pStyle w:val="BodyText"/>
        <w:spacing w:before="93"/>
        <w:ind w:left="1133"/>
      </w:pPr>
      <w:r>
        <w:rPr/>
        <w:t>Broker Licensing</w:t>
      </w:r>
    </w:p>
    <w:p>
      <w:pPr>
        <w:pStyle w:val="BodyText"/>
        <w:spacing w:line="264" w:lineRule="auto" w:before="144"/>
        <w:ind w:left="1133" w:right="9000"/>
      </w:pPr>
      <w:r>
        <w:rPr/>
        <w:t>Australian Customs Service 5 Constitution Avenue</w:t>
      </w:r>
    </w:p>
    <w:p>
      <w:pPr>
        <w:pStyle w:val="BodyText"/>
        <w:ind w:left="1133"/>
      </w:pPr>
      <w:r>
        <w:rPr/>
        <w:t>CANBERRA ACT 2601</w:t>
      </w:r>
    </w:p>
    <w:p>
      <w:pPr>
        <w:pStyle w:val="BodyText"/>
        <w:spacing w:before="142"/>
        <w:ind w:left="1133"/>
      </w:pPr>
      <w:r>
        <w:rPr/>
        <w:t>by 21 November 2001</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3" w:hanging="360"/>
      </w:pPr>
      <w:rPr>
        <w:rFonts w:hint="default" w:ascii="Arial" w:hAnsi="Arial" w:eastAsia="Arial" w:cs="Arial"/>
        <w:w w:val="130"/>
        <w:sz w:val="20"/>
        <w:szCs w:val="20"/>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9"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8" w:hanging="360"/>
      </w:pPr>
      <w:rPr>
        <w:rFonts w:hint="default"/>
        <w:lang w:val="en-au" w:eastAsia="en-US" w:bidi="ar-SA"/>
      </w:rPr>
    </w:lvl>
    <w:lvl w:ilvl="5">
      <w:start w:val="0"/>
      <w:numFmt w:val="bullet"/>
      <w:lvlText w:val="•"/>
      <w:lvlJc w:val="left"/>
      <w:pPr>
        <w:ind w:left="6883" w:hanging="360"/>
      </w:pPr>
      <w:rPr>
        <w:rFonts w:hint="default"/>
        <w:lang w:val="en-au" w:eastAsia="en-US" w:bidi="ar-SA"/>
      </w:rPr>
    </w:lvl>
    <w:lvl w:ilvl="6">
      <w:start w:val="0"/>
      <w:numFmt w:val="bullet"/>
      <w:lvlText w:val="•"/>
      <w:lvlJc w:val="left"/>
      <w:pPr>
        <w:ind w:left="7887" w:hanging="360"/>
      </w:pPr>
      <w:rPr>
        <w:rFonts w:hint="default"/>
        <w:lang w:val="en-au" w:eastAsia="en-US" w:bidi="ar-SA"/>
      </w:rPr>
    </w:lvl>
    <w:lvl w:ilvl="7">
      <w:start w:val="0"/>
      <w:numFmt w:val="bullet"/>
      <w:lvlText w:val="•"/>
      <w:lvlJc w:val="left"/>
      <w:pPr>
        <w:ind w:left="8892" w:hanging="360"/>
      </w:pPr>
      <w:rPr>
        <w:rFonts w:hint="default"/>
        <w:lang w:val="en-au" w:eastAsia="en-US" w:bidi="ar-SA"/>
      </w:rPr>
    </w:lvl>
    <w:lvl w:ilvl="8">
      <w:start w:val="0"/>
      <w:numFmt w:val="bullet"/>
      <w:lvlText w:val="•"/>
      <w:lvlJc w:val="left"/>
      <w:pPr>
        <w:ind w:left="9897"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133"/>
      <w:outlineLvl w:val="1"/>
    </w:pPr>
    <w:rPr>
      <w:rFonts w:ascii="Arial" w:hAnsi="Arial" w:eastAsia="Arial" w:cs="Arial"/>
      <w:b/>
      <w:bCs/>
      <w:sz w:val="24"/>
      <w:szCs w:val="24"/>
      <w:lang w:val="en-au" w:eastAsia="en-US" w:bidi="ar-SA"/>
    </w:rPr>
  </w:style>
  <w:style w:styleId="Title" w:type="paragraph">
    <w:name w:val="Title"/>
    <w:basedOn w:val="Normal"/>
    <w:uiPriority w:val="1"/>
    <w:qFormat/>
    <w:pPr>
      <w:spacing w:before="222"/>
      <w:ind w:left="1428" w:right="1433"/>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56"/>
      <w:ind w:left="1853" w:hanging="361"/>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s://archive.homeaffairs.gov.au/busi/cargo-support-trade-and-goods/importing-goods/tariff-classification-of-goods/current-tariff-classification" TargetMode="External"/><Relationship Id="rId8" Type="http://schemas.openxmlformats.org/officeDocument/2006/relationships/hyperlink" Target="https://dfat.gov.au/trade/agreements/in-force/aanzfta/official-documents/Pages/official-documents.aspx" TargetMode="External"/><Relationship Id="rId9" Type="http://schemas.openxmlformats.org/officeDocument/2006/relationships/hyperlink" Target="mailto:tradepolicy1@homeaffairs.gov.au"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 HUCKABEE</dc:creator>
  <cp:keywords>Principles of procedural fairness in respect of information that is potentially adverse to the applicant will be applied and if information is received that is considered credible, relevant and significant, the applicant will be made aware of the substanc</cp:keywords>
  <dc:subject>Any objections to the application will be determined on a case by case basis.</dc:subject>
  <dc:title>Interested parties should contact Ms Renata Rovira on (02) 6275 6890 or By email to.</dc:title>
  <dcterms:created xsi:type="dcterms:W3CDTF">2020-12-09T22:48:44Z</dcterms:created>
  <dcterms:modified xsi:type="dcterms:W3CDTF">2020-12-09T22:48:44Z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2018-12-18T00:00:00Z</vt:filetime>
  </property>
  <property fmtid="{D5CDD505-2E9C-101B-9397-08002B2CF9AE}" pid="3" name="Creator">
    <vt:lpwstr>Microsoft® Word 2016</vt:lpwstr>
  </property>
  <property fmtid="{D5CDD505-2E9C-101B-9397-08002B2CF9AE}" pid="4" name="LastSaved">
    <vt:filetime>2020-12-09T00:00:00Z</vt:filetime>
  </property>
</Properties>
</file>