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20256">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b w:val="0"/>
          <w:i w:val="0"/>
          <w:color w:val="034EA2"/>
          <w:spacing w:val="-6"/>
          <w:u w:val="none"/>
        </w:rPr>
        <w:t>Australian Customs Notice 2002 41</w:t>
      </w:r>
      <w:r>
        <w:rPr>
          <w:color w:val="034EA2"/>
        </w:rPr>
      </w:r>
      <w:r>
        <w:rPr>
          <w:color w:val="034EA2"/>
          <w:spacing w:val="-8"/>
        </w:rPr>
      </w:r>
      <w:r>
        <w:rPr>
          <w:color w:val="034EA2"/>
        </w:rPr>
      </w:r>
    </w:p>
    <w:p>
      <w:pPr>
        <w:spacing w:before="557"/>
        <w:ind w:left="727" w:right="605" w:firstLine="0"/>
        <w:jc w:val="center"/>
        <w:rPr>
          <w:b/>
          <w:sz w:val="40"/>
        </w:rPr>
      </w:pPr>
      <w:bookmarkStart w:name="Application for Customs Broker Licences" w:id="1"/>
      <w:bookmarkEnd w:id="1"/>
      <w:r>
        <w:rPr/>
      </w:r>
      <w:r>
        <w:rPr>
          <w:b/>
          <w:sz w:val="40"/>
        </w:rPr>
        <w:t>APPLICATION FOR CUSTOMS BROKERS LICENCE</w:t>
      </w:r>
    </w:p>
    <w:p>
      <w:pPr>
        <w:pStyle w:val="BodyText"/>
        <w:spacing w:line="264" w:lineRule="auto" w:before="367"/>
        <w:ind w:left="150" w:right="1491"/>
      </w:pPr>
      <w:bookmarkStart w:name="The following individuals and companies " w:id="2"/>
      <w:bookmarkEnd w:id="2"/>
      <w:r>
        <w:rPr/>
      </w:r>
      <w:r>
        <w:rPr/>
        <w:t>The following person has applied to the Chief Executive Officer of the Customs for a customs brokers licence.</w:t>
      </w:r>
    </w:p>
    <w:p>
      <w:pPr>
        <w:pStyle w:val="BodyText"/>
        <w:rPr>
          <w:sz w:val="20"/>
        </w:rPr>
      </w:pPr>
    </w:p>
    <w:p>
      <w:pPr>
        <w:pStyle w:val="BodyText"/>
        <w:rPr>
          <w:sz w:val="20"/>
        </w:rPr>
      </w:pPr>
    </w:p>
    <w:p>
      <w:pPr>
        <w:pStyle w:val="BodyText"/>
        <w:spacing w:before="9"/>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4394"/>
        <w:gridCol w:w="2657"/>
      </w:tblGrid>
      <w:tr>
        <w:trPr>
          <w:trHeight w:val="251" w:hRule="atLeast"/>
        </w:trPr>
        <w:tc>
          <w:tcPr>
            <w:tcW w:w="2176" w:type="dxa"/>
          </w:tcPr>
          <w:p>
            <w:pPr>
              <w:pStyle w:val="TableParagraph"/>
              <w:spacing w:line="232" w:lineRule="exact"/>
              <w:ind w:left="50"/>
              <w:rPr>
                <w:b/>
                <w:sz w:val="22"/>
              </w:rPr>
            </w:pPr>
            <w:r>
              <w:rPr>
                <w:b/>
                <w:sz w:val="22"/>
              </w:rPr>
              <w:t>Definitions</w:t>
            </w:r>
          </w:p>
        </w:tc>
        <w:tc>
          <w:tcPr>
            <w:tcW w:w="4394" w:type="dxa"/>
          </w:tcPr>
          <w:p>
            <w:pPr>
              <w:pStyle w:val="TableParagraph"/>
              <w:spacing w:line="232" w:lineRule="exact"/>
              <w:ind w:left="600"/>
              <w:rPr>
                <w:b/>
                <w:sz w:val="22"/>
              </w:rPr>
            </w:pPr>
            <w:r>
              <w:rPr>
                <w:b/>
                <w:sz w:val="22"/>
                <w:u w:val="thick"/>
              </w:rPr>
              <w:t>Part 1 and</w:t>
            </w:r>
          </w:p>
        </w:tc>
        <w:tc>
          <w:tcPr>
            <w:tcW w:w="2657" w:type="dxa"/>
          </w:tcPr>
          <w:p>
            <w:pPr>
              <w:pStyle w:val="TableParagraph"/>
              <w:spacing w:line="232" w:lineRule="exact"/>
              <w:ind w:left="526"/>
              <w:rPr>
                <w:b/>
                <w:sz w:val="22"/>
              </w:rPr>
            </w:pPr>
            <w:r>
              <w:rPr>
                <w:b/>
                <w:sz w:val="22"/>
                <w:u w:val="thick"/>
              </w:rPr>
              <w:t>Part 2: Item 1</w:t>
            </w:r>
          </w:p>
        </w:tc>
      </w:tr>
      <w:tr>
        <w:trPr>
          <w:trHeight w:val="254" w:hRule="atLeast"/>
        </w:trPr>
        <w:tc>
          <w:tcPr>
            <w:tcW w:w="2176" w:type="dxa"/>
          </w:tcPr>
          <w:p>
            <w:pPr>
              <w:pStyle w:val="TableParagraph"/>
              <w:spacing w:line="234" w:lineRule="exact"/>
              <w:ind w:left="50"/>
              <w:rPr>
                <w:sz w:val="22"/>
              </w:rPr>
            </w:pPr>
            <w:r>
              <w:rPr>
                <w:sz w:val="22"/>
              </w:rPr>
              <w:t>Definition of item 1</w:t>
            </w:r>
          </w:p>
        </w:tc>
        <w:tc>
          <w:tcPr>
            <w:tcW w:w="4394" w:type="dxa"/>
          </w:tcPr>
          <w:p>
            <w:pPr>
              <w:pStyle w:val="TableParagraph"/>
              <w:spacing w:line="234" w:lineRule="exact"/>
              <w:ind w:left="600"/>
              <w:rPr>
                <w:sz w:val="22"/>
              </w:rPr>
            </w:pPr>
            <w:r>
              <w:rPr>
                <w:sz w:val="22"/>
              </w:rPr>
              <w:t>Item 2: Customs importation offence</w:t>
            </w:r>
          </w:p>
        </w:tc>
        <w:tc>
          <w:tcPr>
            <w:tcW w:w="2657" w:type="dxa"/>
          </w:tcPr>
          <w:p>
            <w:pPr>
              <w:pStyle w:val="TableParagraph"/>
              <w:spacing w:line="234" w:lineRule="exact"/>
              <w:ind w:left="526"/>
              <w:rPr>
                <w:sz w:val="22"/>
              </w:rPr>
            </w:pPr>
            <w:r>
              <w:rPr>
                <w:sz w:val="22"/>
              </w:rPr>
              <w:t>Schedule 4 to the Customs Tariff Act 1995</w:t>
            </w:r>
          </w:p>
        </w:tc>
      </w:tr>
      <w:tr>
        <w:trPr>
          <w:trHeight w:val="632" w:hRule="atLeast"/>
        </w:trPr>
        <w:tc>
          <w:tcPr>
            <w:tcW w:w="2176" w:type="dxa"/>
          </w:tcPr>
          <w:p>
            <w:pPr>
              <w:pStyle w:val="TableParagraph"/>
              <w:spacing w:line="242" w:lineRule="auto"/>
              <w:ind w:left="50" w:right="577"/>
              <w:rPr>
                <w:sz w:val="22"/>
              </w:rPr>
            </w:pPr>
            <w:r>
              <w:rPr>
                <w:sz w:val="22"/>
              </w:rPr>
              <w:t>Item 3: Customs importation customs duty</w:t>
            </w:r>
          </w:p>
        </w:tc>
        <w:tc>
          <w:tcPr>
            <w:tcW w:w="4394" w:type="dxa"/>
          </w:tcPr>
          <w:p>
            <w:pPr>
              <w:pStyle w:val="TableParagraph"/>
              <w:spacing w:before="9"/>
              <w:rPr>
                <w:sz w:val="21"/>
              </w:rPr>
            </w:pPr>
          </w:p>
          <w:p>
            <w:pPr>
              <w:pStyle w:val="TableParagraph"/>
              <w:ind w:left="600"/>
              <w:rPr>
                <w:sz w:val="22"/>
              </w:rPr>
            </w:pPr>
            <w:r>
              <w:rPr>
                <w:sz w:val="22"/>
              </w:rPr>
              <w:t>Schedule 5: Customs duty rate</w:t>
            </w:r>
          </w:p>
        </w:tc>
        <w:tc>
          <w:tcPr>
            <w:tcW w:w="2657" w:type="dxa"/>
          </w:tcPr>
          <w:p>
            <w:pPr>
              <w:pStyle w:val="TableParagraph"/>
              <w:spacing w:before="9"/>
              <w:rPr>
                <w:sz w:val="21"/>
              </w:rPr>
            </w:pPr>
          </w:p>
          <w:p>
            <w:pPr>
              <w:pStyle w:val="TableParagraph"/>
              <w:ind w:left="526"/>
              <w:rPr>
                <w:sz w:val="22"/>
              </w:rPr>
            </w:pPr>
            <w:r>
              <w:rPr>
                <w:sz w:val="22"/>
              </w:rPr>
              <w:t>Schedule 6: Item 6B</w:t>
            </w:r>
          </w:p>
        </w:tc>
      </w:tr>
      <w:tr>
        <w:trPr>
          <w:trHeight w:val="759" w:hRule="atLeast"/>
        </w:trPr>
        <w:tc>
          <w:tcPr>
            <w:tcW w:w="2176" w:type="dxa"/>
          </w:tcPr>
          <w:p>
            <w:pPr>
              <w:pStyle w:val="TableParagraph"/>
              <w:rPr>
                <w:rFonts w:ascii="Times New Roman"/>
                <w:sz w:val="24"/>
              </w:rPr>
            </w:pPr>
          </w:p>
        </w:tc>
        <w:tc>
          <w:tcPr>
            <w:tcW w:w="4394" w:type="dxa"/>
          </w:tcPr>
          <w:p>
            <w:pPr>
              <w:pStyle w:val="TableParagraph"/>
              <w:spacing w:before="122"/>
              <w:ind w:left="601" w:right="1852"/>
              <w:rPr>
                <w:sz w:val="22"/>
              </w:rPr>
            </w:pPr>
            <w:r>
              <w:rPr>
                <w:sz w:val="22"/>
              </w:rPr>
              <w:t>item 7: Part 6C</w:t>
            </w:r>
          </w:p>
        </w:tc>
        <w:tc>
          <w:tcPr>
            <w:tcW w:w="2657" w:type="dxa"/>
          </w:tcPr>
          <w:p>
            <w:pPr>
              <w:pStyle w:val="TableParagraph"/>
              <w:spacing w:before="122"/>
              <w:ind w:left="527" w:right="827" w:hanging="1"/>
              <w:rPr>
                <w:sz w:val="22"/>
              </w:rPr>
            </w:pPr>
            <w:r>
              <w:rPr>
                <w:sz w:val="22"/>
              </w:rPr>
              <w:t>Schedule 7: Schedule 8:</w:t>
            </w:r>
          </w:p>
        </w:tc>
      </w:tr>
      <w:tr>
        <w:trPr>
          <w:trHeight w:val="505" w:hRule="atLeast"/>
        </w:trPr>
        <w:tc>
          <w:tcPr>
            <w:tcW w:w="2176" w:type="dxa"/>
          </w:tcPr>
          <w:p>
            <w:pPr>
              <w:pStyle w:val="TableParagraph"/>
              <w:rPr>
                <w:rFonts w:ascii="Times New Roman"/>
                <w:sz w:val="24"/>
              </w:rPr>
            </w:pPr>
          </w:p>
        </w:tc>
        <w:tc>
          <w:tcPr>
            <w:tcW w:w="4394" w:type="dxa"/>
          </w:tcPr>
          <w:p>
            <w:pPr>
              <w:pStyle w:val="TableParagraph"/>
              <w:spacing w:before="123"/>
              <w:ind w:left="601"/>
              <w:rPr>
                <w:sz w:val="22"/>
              </w:rPr>
            </w:pPr>
            <w:r>
              <w:rPr>
                <w:sz w:val="22"/>
              </w:rPr>
              <w:t>Schedule 9:</w:t>
            </w:r>
          </w:p>
        </w:tc>
        <w:tc>
          <w:tcPr>
            <w:tcW w:w="2657" w:type="dxa"/>
          </w:tcPr>
          <w:p>
            <w:pPr>
              <w:pStyle w:val="TableParagraph"/>
              <w:spacing w:before="123"/>
              <w:ind w:left="527"/>
              <w:rPr>
                <w:sz w:val="22"/>
              </w:rPr>
            </w:pPr>
            <w:r>
              <w:rPr>
                <w:sz w:val="22"/>
              </w:rPr>
              <w:t>item 10:</w:t>
            </w:r>
          </w:p>
        </w:tc>
      </w:tr>
      <w:tr>
        <w:trPr>
          <w:trHeight w:val="1770" w:hRule="atLeast"/>
        </w:trPr>
        <w:tc>
          <w:tcPr>
            <w:tcW w:w="2176" w:type="dxa"/>
          </w:tcPr>
          <w:p>
            <w:pPr>
              <w:pStyle w:val="TableParagraph"/>
              <w:rPr>
                <w:rFonts w:ascii="Times New Roman"/>
                <w:sz w:val="24"/>
              </w:rPr>
            </w:pPr>
          </w:p>
        </w:tc>
        <w:tc>
          <w:tcPr>
            <w:tcW w:w="4394" w:type="dxa"/>
          </w:tcPr>
          <w:p>
            <w:pPr>
              <w:pStyle w:val="TableParagraph"/>
              <w:spacing w:before="122"/>
              <w:ind w:left="600" w:right="1915"/>
              <w:rPr>
                <w:sz w:val="22"/>
              </w:rPr>
            </w:pPr>
            <w:r>
              <w:rPr>
                <w:b w:val="0"/>
                <w:i w:val="0"/>
                <w:sz w:val="22"/>
                <w:u w:val="single"/>
              </w:rPr>
              <w:t>subheading 10.21(1)(b)</w:t>
            </w:r>
            <w:r>
              <w:rPr>
                <w:sz w:val="22"/>
              </w:rPr>
            </w:r>
          </w:p>
        </w:tc>
        <w:tc>
          <w:tcPr>
            <w:tcW w:w="2657" w:type="dxa"/>
          </w:tcPr>
          <w:p>
            <w:pPr>
              <w:pStyle w:val="TableParagraph"/>
              <w:spacing w:before="122"/>
              <w:ind w:left="526" w:right="252"/>
              <w:rPr>
                <w:sz w:val="22"/>
              </w:rPr>
            </w:pPr>
            <w:r>
              <w:rPr>
                <w:b w:val="0"/>
                <w:i w:val="0"/>
                <w:sz w:val="22"/>
                <w:u w:val="none"/>
              </w:rPr>
              <w:t>Item 12: Goods included in the class of goods prescribed for the purposes of section 4 of the Customs Tariff Act 1995</w:t>
            </w:r>
            <w:r>
              <w:rPr>
                <w:sz w:val="22"/>
              </w:rPr>
            </w:r>
          </w:p>
        </w:tc>
      </w:tr>
      <w:tr>
        <w:trPr>
          <w:trHeight w:val="906" w:hRule="atLeast"/>
        </w:trPr>
        <w:tc>
          <w:tcPr>
            <w:tcW w:w="2176" w:type="dxa"/>
          </w:tcPr>
          <w:p>
            <w:pPr>
              <w:pStyle w:val="TableParagraph"/>
              <w:rPr>
                <w:rFonts w:ascii="Times New Roman"/>
                <w:sz w:val="24"/>
              </w:rPr>
            </w:pPr>
          </w:p>
        </w:tc>
        <w:tc>
          <w:tcPr>
            <w:tcW w:w="4394" w:type="dxa"/>
          </w:tcPr>
          <w:p>
            <w:pPr>
              <w:pStyle w:val="TableParagraph"/>
              <w:spacing w:before="123"/>
              <w:ind w:left="600" w:right="2184"/>
              <w:rPr>
                <w:sz w:val="22"/>
              </w:rPr>
            </w:pPr>
            <w:r>
              <w:rPr>
                <w:b w:val="0"/>
                <w:i w:val="0"/>
                <w:sz w:val="22"/>
                <w:u w:val="single"/>
              </w:rPr>
              <w:t>Item 14: Customs duty rate</w:t>
            </w:r>
            <w:r>
              <w:rPr>
                <w:sz w:val="22"/>
              </w:rPr>
            </w:r>
          </w:p>
        </w:tc>
        <w:tc>
          <w:tcPr>
            <w:tcW w:w="2657" w:type="dxa"/>
          </w:tcPr>
          <w:p>
            <w:pPr>
              <w:pStyle w:val="TableParagraph"/>
              <w:spacing w:before="123"/>
              <w:ind w:left="526" w:right="521"/>
              <w:rPr>
                <w:sz w:val="22"/>
              </w:rPr>
            </w:pPr>
            <w:r>
              <w:rPr>
                <w:b w:val="0"/>
                <w:i w:val="0"/>
                <w:sz w:val="22"/>
                <w:u w:val="none"/>
              </w:rPr>
              <w:t>Item 15: Schedule 9</w:t>
            </w:r>
            <w:r>
              <w:rPr>
                <w:sz w:val="22"/>
              </w:rPr>
            </w:r>
          </w:p>
          <w:p>
            <w:pPr>
              <w:pStyle w:val="TableParagraph"/>
              <w:spacing w:line="256" w:lineRule="exact" w:before="1"/>
              <w:ind w:left="526"/>
              <w:rPr>
                <w:sz w:val="24"/>
              </w:rPr>
            </w:pPr>
            <w:r>
              <w:rPr>
                <w:sz w:val="24"/>
              </w:rPr>
              <w:t>Item 16:</w:t>
            </w:r>
          </w:p>
        </w:tc>
      </w:tr>
    </w:tbl>
    <w:p>
      <w:pPr>
        <w:pStyle w:val="BodyText"/>
        <w:rPr>
          <w:sz w:val="20"/>
        </w:rPr>
      </w:pPr>
    </w:p>
    <w:p>
      <w:pPr>
        <w:pStyle w:val="BodyText"/>
        <w:rPr>
          <w:sz w:val="20"/>
        </w:rPr>
      </w:pPr>
    </w:p>
    <w:p>
      <w:pPr>
        <w:pStyle w:val="BodyText"/>
        <w:spacing w:before="10"/>
        <w:rPr>
          <w:sz w:val="21"/>
        </w:rPr>
      </w:pPr>
    </w:p>
    <w:p>
      <w:pPr>
        <w:pStyle w:val="BodyText"/>
        <w:spacing w:before="92"/>
        <w:ind w:left="150" w:right="583"/>
      </w:pPr>
      <w:r>
        <w:rPr/>
        <w:t>Any person wishing to make written representation in respect of any of the applicants should address the correspondence by Tuesday 21 October 2002 to:</w:t>
      </w:r>
    </w:p>
    <w:p>
      <w:pPr>
        <w:pStyle w:val="BodyText"/>
      </w:pPr>
    </w:p>
    <w:p>
      <w:pPr>
        <w:pStyle w:val="BodyText"/>
        <w:ind w:left="716"/>
      </w:pPr>
      <w:r>
        <w:rPr/>
        <w:t>Broker Licensing</w:t>
      </w:r>
    </w:p>
    <w:p>
      <w:pPr>
        <w:pStyle w:val="BodyText"/>
        <w:tabs>
          <w:tab w:pos="6476" w:val="left" w:leader="none"/>
        </w:tabs>
        <w:ind w:left="716"/>
      </w:pPr>
      <w:r>
        <w:rPr>
          <w:b w:val="0"/>
          <w:i w:val="0"/>
          <w:u w:val="none"/>
        </w:rPr>
        <w:t>Australian Customs Service 5 Constitution Avenue</w:t>
      </w:r>
      <w:r>
        <w:rPr>
          <w:spacing w:val="-6"/>
        </w:rPr>
      </w:r>
      <w:r>
        <w:rPr/>
      </w:r>
      <w:r>
        <w:rPr>
          <w:spacing w:val="-1"/>
        </w:rPr>
      </w:r>
      <w:r>
        <w:rPr/>
      </w:r>
      <w:r>
        <w:rPr>
          <w:spacing w:val="-1"/>
        </w:rPr>
      </w:r>
      <w:r>
        <w:rPr/>
      </w:r>
    </w:p>
    <w:p>
      <w:pPr>
        <w:pStyle w:val="BodyText"/>
        <w:tabs>
          <w:tab w:pos="6476" w:val="left" w:leader="none"/>
        </w:tabs>
        <w:ind w:left="716" w:right="1552"/>
      </w:pPr>
      <w:r>
        <w:rPr>
          <w:b w:val="0"/>
          <w:i w:val="0"/>
          <w:u w:val="none"/>
        </w:rPr>
        <w:t>CANBERRA ACT 2601</w:t>
      </w:r>
      <w:r>
        <w:rPr>
          <w:spacing w:val="-2"/>
        </w:rPr>
      </w:r>
      <w:r>
        <w:rPr/>
      </w:r>
      <w:r>
        <w:rPr>
          <w:spacing w:val="-4"/>
        </w:rPr>
      </w:r>
      <w:r>
        <w:rPr/>
      </w:r>
      <w:hyperlink r:id="rId6">
        <w:r>
          <w:rPr>
            <w:spacing w:val="-1"/>
            <w:u w:val="single"/>
          </w:rPr>
          <w:t>brokers.licensing@homeaffairs.gov.au</w:t>
        </w:r>
      </w:hyperlink>
      <w:r>
        <w:rPr>
          <w:spacing w:val="-1"/>
        </w:rPr>
      </w:r>
      <w:r>
        <w:rPr/>
      </w:r>
    </w:p>
    <w:p>
      <w:pPr>
        <w:pStyle w:val="BodyText"/>
      </w:pPr>
    </w:p>
    <w:p>
      <w:pPr>
        <w:pStyle w:val="BodyText"/>
        <w:ind w:left="150" w:right="704"/>
      </w:pPr>
      <w:r>
        <w:rPr/>
        <w:t>By 15 October 2002, brokers are required to lodge Tariff Concessions (TCs) for goods imported on or after 20 November 2002 and on import entries under Section 77C or 77D of the Customs Act 1901 that are lodged within the month before the close of business on that day. In the case of TCs that are lodged in the week immediately following a week-end general rate of duty increase, this week-end TC rate is applied. However, TCs lodged on or after 20 November 2002 are unaffected by the general rate of duty increase.</w:t>
      </w:r>
    </w:p>
    <w:p>
      <w:pPr>
        <w:pStyle w:val="BodyText"/>
        <w:spacing w:line="550" w:lineRule="atLeast" w:before="3"/>
        <w:ind w:left="150" w:right="10589"/>
      </w:pPr>
      <w:r>
        <w:rPr/>
        <w:t>Section 77B</w:t>
      </w:r>
    </w:p>
    <w:p>
      <w:pPr>
        <w:pStyle w:val="BodyText"/>
        <w:spacing w:before="2"/>
        <w:ind w:left="150"/>
      </w:pPr>
      <w:r>
        <w:rPr/>
        <w:t>Section 77C</w:t>
      </w:r>
    </w:p>
    <w:p>
      <w:pPr>
        <w:pStyle w:val="BodyText"/>
        <w:ind w:left="150" w:right="7388"/>
      </w:pPr>
      <w:r>
        <w:rPr/>
        <w:t>Part 2.1 of the Customs Act 1901</w:t>
      </w:r>
    </w:p>
    <w:p>
      <w:pPr>
        <w:pStyle w:val="BodyText"/>
        <w:spacing w:before="11"/>
        <w:rPr>
          <w:sz w:val="23"/>
        </w:rPr>
      </w:pPr>
    </w:p>
    <w:p>
      <w:pPr>
        <w:pStyle w:val="BodyText"/>
        <w:ind w:left="150"/>
      </w:pPr>
      <w:r>
        <w:rPr/>
        <w:t>General Offences</w:t>
      </w:r>
    </w:p>
    <w:sectPr>
      <w:type w:val="continuous"/>
      <w:pgSz w:w="16840" w:h="23820"/>
      <w:pgMar w:top="0" w:bottom="280" w:left="230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73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Statistical Code</dc:creator>
  <cp:keywords>Item 17:</cp:keywords>
  <dc:title>Code to identify the statistical code that must be used in computing the Customs duty rate</dc:title>
  <dcterms:created xsi:type="dcterms:W3CDTF">2020-12-09T22:47:21Z</dcterms:created>
  <dcterms:modified xsi:type="dcterms:W3CDTF">2020-12-09T22:47:21Z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Acrobat PDFMaker 15 for Word</vt:lpwstr>
  </property>
  <property fmtid="{D5CDD505-2E9C-101B-9397-08002B2CF9AE}" pid="4" name="LastSaved">
    <vt:filetime>2020-12-09T00:00:00Z</vt:filetime>
  </property>
</Properties>
</file>