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8FF9" w14:textId="77777777" w:rsidR="0089606D" w:rsidRDefault="003B211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20256" behindDoc="1" locked="0" layoutInCell="1" allowOverlap="1" wp14:anchorId="0A725776" wp14:editId="5F920F19">
            <wp:simplePos x="0" y="0"/>
            <wp:positionH relativeFrom="page">
              <wp:posOffset>6986</wp:posOffset>
            </wp:positionH>
            <wp:positionV relativeFrom="page">
              <wp:posOffset>4572</wp:posOffset>
            </wp:positionV>
            <wp:extent cx="10685397" cy="2072511"/>
            <wp:effectExtent l="0" t="0" r="0" b="0"/>
            <wp:wrapNone/>
            <wp:docPr id="1" name="image1.jpeg" descr="Australian Government Department of Home Affairs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397" cy="207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0F834" w14:textId="77777777" w:rsidR="0089606D" w:rsidRDefault="0089606D">
      <w:pPr>
        <w:pStyle w:val="BodyText"/>
        <w:rPr>
          <w:rFonts w:ascii="Times New Roman"/>
          <w:sz w:val="20"/>
        </w:rPr>
      </w:pPr>
    </w:p>
    <w:p w14:paraId="33CEDE4C" w14:textId="77777777" w:rsidR="0089606D" w:rsidRDefault="0089606D">
      <w:pPr>
        <w:pStyle w:val="BodyText"/>
        <w:rPr>
          <w:rFonts w:ascii="Times New Roman"/>
          <w:sz w:val="20"/>
        </w:rPr>
      </w:pPr>
    </w:p>
    <w:p w14:paraId="2232E9AB" w14:textId="77777777" w:rsidR="0089606D" w:rsidRDefault="0089606D">
      <w:pPr>
        <w:pStyle w:val="BodyText"/>
        <w:rPr>
          <w:rFonts w:ascii="Times New Roman"/>
          <w:sz w:val="20"/>
        </w:rPr>
      </w:pPr>
    </w:p>
    <w:p w14:paraId="163B19B8" w14:textId="77777777" w:rsidR="0089606D" w:rsidRDefault="0089606D">
      <w:pPr>
        <w:pStyle w:val="BodyText"/>
        <w:rPr>
          <w:rFonts w:ascii="Times New Roman"/>
          <w:sz w:val="20"/>
        </w:rPr>
      </w:pPr>
    </w:p>
    <w:p w14:paraId="74565E17" w14:textId="77777777" w:rsidR="0089606D" w:rsidRDefault="0089606D">
      <w:pPr>
        <w:pStyle w:val="BodyText"/>
        <w:rPr>
          <w:rFonts w:ascii="Times New Roman"/>
          <w:sz w:val="20"/>
        </w:rPr>
      </w:pPr>
    </w:p>
    <w:p w14:paraId="306485AD" w14:textId="77777777" w:rsidR="0089606D" w:rsidRDefault="0089606D">
      <w:pPr>
        <w:pStyle w:val="BodyText"/>
        <w:rPr>
          <w:rFonts w:ascii="Times New Roman"/>
          <w:sz w:val="20"/>
        </w:rPr>
      </w:pPr>
    </w:p>
    <w:p w14:paraId="1B69184A" w14:textId="77777777" w:rsidR="0089606D" w:rsidRDefault="0089606D">
      <w:pPr>
        <w:pStyle w:val="BodyText"/>
        <w:rPr>
          <w:rFonts w:ascii="Times New Roman"/>
          <w:sz w:val="20"/>
        </w:rPr>
      </w:pPr>
    </w:p>
    <w:p w14:paraId="29D58B94" w14:textId="77777777" w:rsidR="0089606D" w:rsidRDefault="0089606D">
      <w:pPr>
        <w:pStyle w:val="BodyText"/>
        <w:rPr>
          <w:rFonts w:ascii="Times New Roman"/>
          <w:sz w:val="20"/>
        </w:rPr>
      </w:pPr>
    </w:p>
    <w:p w14:paraId="00586531" w14:textId="77777777" w:rsidR="0089606D" w:rsidRDefault="0089606D">
      <w:pPr>
        <w:pStyle w:val="BodyText"/>
        <w:rPr>
          <w:rFonts w:ascii="Times New Roman"/>
          <w:sz w:val="20"/>
        </w:rPr>
      </w:pPr>
    </w:p>
    <w:p w14:paraId="5A2EB3A9" w14:textId="77777777" w:rsidR="0089606D" w:rsidRDefault="0089606D">
      <w:pPr>
        <w:pStyle w:val="BodyText"/>
        <w:rPr>
          <w:rFonts w:ascii="Times New Roman"/>
          <w:sz w:val="20"/>
        </w:rPr>
      </w:pPr>
    </w:p>
    <w:p w14:paraId="4CAF3057" w14:textId="77777777" w:rsidR="0089606D" w:rsidRDefault="0089606D">
      <w:pPr>
        <w:pStyle w:val="BodyText"/>
        <w:rPr>
          <w:rFonts w:ascii="Times New Roman"/>
          <w:sz w:val="20"/>
        </w:rPr>
      </w:pPr>
    </w:p>
    <w:p w14:paraId="77DE4894" w14:textId="77777777" w:rsidR="0089606D" w:rsidRDefault="0089606D">
      <w:pPr>
        <w:pStyle w:val="BodyText"/>
        <w:rPr>
          <w:rFonts w:ascii="Times New Roman"/>
          <w:sz w:val="20"/>
        </w:rPr>
      </w:pPr>
    </w:p>
    <w:p w14:paraId="259340D7" w14:textId="77777777" w:rsidR="0089606D" w:rsidRDefault="0089606D">
      <w:pPr>
        <w:pStyle w:val="BodyText"/>
        <w:rPr>
          <w:rFonts w:ascii="Times New Roman"/>
          <w:sz w:val="20"/>
        </w:rPr>
      </w:pPr>
    </w:p>
    <w:p w14:paraId="1D2B4150" w14:textId="77777777" w:rsidR="0089606D" w:rsidRDefault="0089606D">
      <w:pPr>
        <w:pStyle w:val="BodyText"/>
        <w:rPr>
          <w:rFonts w:ascii="Times New Roman"/>
          <w:sz w:val="20"/>
        </w:rPr>
      </w:pPr>
    </w:p>
    <w:p w14:paraId="1F755F4C" w14:textId="2450F678" w:rsidR="0089606D" w:rsidRPr="0001475A" w:rsidRDefault="003B2117">
      <w:pPr>
        <w:pStyle w:val="Title"/>
        <w:rPr>
          <w:highlight w:val="yellow"/>
        </w:rPr>
      </w:pPr>
      <w:r w:rsidRPr="003B2117">
        <w:rPr>
          <w:b w:val="0"/>
          <w:color w:val="034EA2"/>
          <w:spacing w:val="-6"/>
          <w:highlight w:val="yellow"/>
        </w:rPr>
        <w:t>Australia</w:t>
      </w:r>
      <w:r w:rsidRPr="00713685">
        <w:rPr>
          <w:b w:val="0"/>
          <w:color w:val="034EA2"/>
          <w:spacing w:val="-6"/>
        </w:rPr>
        <w:t xml:space="preserve"> </w:t>
      </w:r>
      <w:r w:rsidR="0001475A" w:rsidRPr="0001475A">
        <w:rPr>
          <w:b w:val="0"/>
          <w:color w:val="034EA2"/>
          <w:spacing w:val="-6"/>
          <w:highlight w:val="yellow"/>
        </w:rPr>
        <w:t>I</w:t>
      </w:r>
      <w:r w:rsidR="0001475A" w:rsidRPr="0001475A">
        <w:rPr>
          <w:b w:val="0"/>
          <w:color w:val="034EA2"/>
          <w:spacing w:val="-6"/>
          <w:highlight w:val="yellow"/>
        </w:rPr>
        <w:t>mport</w:t>
      </w:r>
      <w:r w:rsidR="0001475A" w:rsidRPr="0001475A">
        <w:rPr>
          <w:b w:val="0"/>
          <w:color w:val="034EA2"/>
          <w:spacing w:val="-6"/>
          <w:highlight w:val="yellow"/>
        </w:rPr>
        <w:t xml:space="preserve"> </w:t>
      </w:r>
      <w:r w:rsidR="0001475A" w:rsidRPr="0001475A">
        <w:rPr>
          <w:b w:val="0"/>
          <w:color w:val="034EA2"/>
          <w:spacing w:val="-6"/>
          <w:highlight w:val="yellow"/>
        </w:rPr>
        <w:t>and</w:t>
      </w:r>
      <w:r w:rsidR="0001475A" w:rsidRPr="0001475A">
        <w:rPr>
          <w:b w:val="0"/>
          <w:color w:val="034EA2"/>
          <w:spacing w:val="-6"/>
          <w:highlight w:val="yellow"/>
        </w:rPr>
        <w:t xml:space="preserve"> </w:t>
      </w:r>
      <w:r w:rsidR="0001475A" w:rsidRPr="0001475A">
        <w:rPr>
          <w:b w:val="0"/>
          <w:color w:val="034EA2"/>
          <w:spacing w:val="-6"/>
          <w:highlight w:val="yellow"/>
        </w:rPr>
        <w:t>Export</w:t>
      </w:r>
      <w:r w:rsidRPr="0001475A">
        <w:rPr>
          <w:b w:val="0"/>
          <w:color w:val="034EA2"/>
          <w:spacing w:val="-6"/>
          <w:highlight w:val="yellow"/>
        </w:rPr>
        <w:t xml:space="preserve"> </w:t>
      </w:r>
      <w:r>
        <w:rPr>
          <w:b w:val="0"/>
          <w:color w:val="034EA2"/>
          <w:spacing w:val="-6"/>
          <w:highlight w:val="yellow"/>
        </w:rPr>
        <w:t xml:space="preserve">Tax </w:t>
      </w:r>
      <w:r w:rsidR="0001475A" w:rsidRPr="0001475A">
        <w:rPr>
          <w:b w:val="0"/>
          <w:color w:val="034EA2"/>
          <w:spacing w:val="-6"/>
          <w:highlight w:val="yellow"/>
        </w:rPr>
        <w:t>Annou</w:t>
      </w:r>
      <w:r w:rsidR="00713685">
        <w:rPr>
          <w:b w:val="0"/>
          <w:color w:val="034EA2"/>
          <w:spacing w:val="-6"/>
          <w:highlight w:val="yellow"/>
        </w:rPr>
        <w:t>n</w:t>
      </w:r>
      <w:r w:rsidR="0001475A" w:rsidRPr="0001475A">
        <w:rPr>
          <w:b w:val="0"/>
          <w:color w:val="034EA2"/>
          <w:spacing w:val="-6"/>
          <w:highlight w:val="yellow"/>
        </w:rPr>
        <w:t>cement</w:t>
      </w:r>
      <w:r w:rsidRPr="0001475A">
        <w:rPr>
          <w:b w:val="0"/>
          <w:color w:val="034EA2"/>
          <w:spacing w:val="-6"/>
          <w:highlight w:val="yellow"/>
        </w:rPr>
        <w:t xml:space="preserve"> 2002 41</w:t>
      </w:r>
    </w:p>
    <w:p w14:paraId="74D5BA27" w14:textId="344D5B3C" w:rsidR="0089606D" w:rsidRDefault="0001475A">
      <w:pPr>
        <w:spacing w:before="557"/>
        <w:ind w:left="727" w:right="605"/>
        <w:jc w:val="center"/>
        <w:rPr>
          <w:b/>
          <w:sz w:val="40"/>
        </w:rPr>
      </w:pPr>
      <w:bookmarkStart w:id="0" w:name="Application_for_Customs_Broker_Licences"/>
      <w:bookmarkEnd w:id="0"/>
      <w:r w:rsidRPr="0001475A">
        <w:rPr>
          <w:b/>
          <w:sz w:val="40"/>
          <w:highlight w:val="yellow"/>
        </w:rPr>
        <w:t>REQUEST</w:t>
      </w:r>
      <w:r w:rsidR="003B2117" w:rsidRPr="0001475A">
        <w:rPr>
          <w:b/>
          <w:sz w:val="40"/>
          <w:highlight w:val="yellow"/>
        </w:rPr>
        <w:t xml:space="preserve"> FOR</w:t>
      </w:r>
      <w:r w:rsidRPr="0001475A">
        <w:rPr>
          <w:b/>
          <w:sz w:val="40"/>
          <w:highlight w:val="yellow"/>
        </w:rPr>
        <w:t xml:space="preserve"> IMPORT AND EXPORT TAXES </w:t>
      </w:r>
      <w:proofErr w:type="gramStart"/>
      <w:r w:rsidRPr="0001475A">
        <w:rPr>
          <w:b/>
          <w:sz w:val="40"/>
          <w:highlight w:val="yellow"/>
        </w:rPr>
        <w:t xml:space="preserve">DEALER </w:t>
      </w:r>
      <w:r w:rsidR="003B2117" w:rsidRPr="0001475A">
        <w:rPr>
          <w:b/>
          <w:sz w:val="40"/>
          <w:highlight w:val="yellow"/>
        </w:rPr>
        <w:t xml:space="preserve"> </w:t>
      </w:r>
      <w:r w:rsidRPr="0001475A">
        <w:rPr>
          <w:b/>
          <w:sz w:val="40"/>
          <w:highlight w:val="yellow"/>
        </w:rPr>
        <w:t>CERTIFICATE</w:t>
      </w:r>
      <w:proofErr w:type="gramEnd"/>
    </w:p>
    <w:p w14:paraId="46535850" w14:textId="3062B93B" w:rsidR="0089606D" w:rsidRDefault="003B2117">
      <w:pPr>
        <w:pStyle w:val="BodyText"/>
        <w:spacing w:before="367" w:line="264" w:lineRule="auto"/>
        <w:ind w:left="150" w:right="1491"/>
      </w:pPr>
      <w:bookmarkStart w:id="1" w:name="The_following_individuals_and_companies_"/>
      <w:bookmarkEnd w:id="1"/>
      <w:r>
        <w:t xml:space="preserve">The following </w:t>
      </w:r>
      <w:r w:rsidRPr="003B2117">
        <w:rPr>
          <w:highlight w:val="yellow"/>
        </w:rPr>
        <w:t>individual</w:t>
      </w:r>
      <w:r>
        <w:t xml:space="preserve"> has applied to the </w:t>
      </w:r>
      <w:r w:rsidR="00713685" w:rsidRPr="00713685">
        <w:rPr>
          <w:highlight w:val="yellow"/>
        </w:rPr>
        <w:t>CEO</w:t>
      </w:r>
      <w:r>
        <w:t xml:space="preserve"> of the </w:t>
      </w:r>
      <w:r w:rsidR="00EF0CFD" w:rsidRPr="00EF0CFD">
        <w:rPr>
          <w:highlight w:val="yellow"/>
        </w:rPr>
        <w:t>Duties</w:t>
      </w:r>
      <w:r>
        <w:t xml:space="preserve"> for a </w:t>
      </w:r>
      <w:r w:rsidR="00EF0CFD" w:rsidRPr="00EF0CFD">
        <w:rPr>
          <w:highlight w:val="yellow"/>
        </w:rPr>
        <w:t>Duties</w:t>
      </w:r>
      <w:r>
        <w:t xml:space="preserve"> </w:t>
      </w:r>
      <w:r w:rsidR="00713685" w:rsidRPr="00713685">
        <w:rPr>
          <w:highlight w:val="yellow"/>
        </w:rPr>
        <w:t>Agent</w:t>
      </w:r>
      <w:r>
        <w:t xml:space="preserve">s </w:t>
      </w:r>
      <w:r w:rsidR="00713685" w:rsidRPr="00713685">
        <w:rPr>
          <w:highlight w:val="yellow"/>
        </w:rPr>
        <w:t>permit</w:t>
      </w:r>
      <w:r>
        <w:t>.</w:t>
      </w:r>
    </w:p>
    <w:p w14:paraId="066FCF81" w14:textId="77777777" w:rsidR="0089606D" w:rsidRDefault="0089606D">
      <w:pPr>
        <w:pStyle w:val="BodyText"/>
        <w:rPr>
          <w:sz w:val="20"/>
        </w:rPr>
      </w:pPr>
    </w:p>
    <w:p w14:paraId="0A78448F" w14:textId="77777777" w:rsidR="0089606D" w:rsidRDefault="0089606D">
      <w:pPr>
        <w:pStyle w:val="BodyText"/>
        <w:rPr>
          <w:sz w:val="20"/>
        </w:rPr>
      </w:pPr>
    </w:p>
    <w:p w14:paraId="42EADA5F" w14:textId="77777777" w:rsidR="0089606D" w:rsidRDefault="0089606D">
      <w:pPr>
        <w:pStyle w:val="BodyText"/>
        <w:spacing w:before="9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4394"/>
        <w:gridCol w:w="2657"/>
      </w:tblGrid>
      <w:tr w:rsidR="0089606D" w14:paraId="0F82EE0B" w14:textId="77777777">
        <w:trPr>
          <w:trHeight w:val="251"/>
        </w:trPr>
        <w:tc>
          <w:tcPr>
            <w:tcW w:w="2176" w:type="dxa"/>
          </w:tcPr>
          <w:p w14:paraId="46C83FBC" w14:textId="6797B67B" w:rsidR="0089606D" w:rsidRDefault="0001475A">
            <w:pPr>
              <w:pStyle w:val="TableParagraph"/>
              <w:spacing w:line="232" w:lineRule="exact"/>
              <w:ind w:left="50"/>
              <w:rPr>
                <w:b/>
              </w:rPr>
            </w:pPr>
            <w:r w:rsidRPr="0001475A">
              <w:rPr>
                <w:b/>
                <w:highlight w:val="yellow"/>
              </w:rPr>
              <w:t>Descriptions</w:t>
            </w:r>
          </w:p>
        </w:tc>
        <w:tc>
          <w:tcPr>
            <w:tcW w:w="4394" w:type="dxa"/>
          </w:tcPr>
          <w:p w14:paraId="0B41E53E" w14:textId="71FD652B" w:rsidR="0089606D" w:rsidRDefault="0001475A">
            <w:pPr>
              <w:pStyle w:val="TableParagraph"/>
              <w:spacing w:line="232" w:lineRule="exact"/>
              <w:ind w:left="600"/>
              <w:rPr>
                <w:b/>
              </w:rPr>
            </w:pPr>
            <w:r w:rsidRPr="0001475A">
              <w:rPr>
                <w:b/>
                <w:highlight w:val="yellow"/>
                <w:u w:val="thick"/>
              </w:rPr>
              <w:t>Segment</w:t>
            </w:r>
            <w:r w:rsidR="003B2117">
              <w:rPr>
                <w:b/>
                <w:u w:val="thick"/>
              </w:rPr>
              <w:t xml:space="preserve"> 1 and</w:t>
            </w:r>
          </w:p>
        </w:tc>
        <w:tc>
          <w:tcPr>
            <w:tcW w:w="2657" w:type="dxa"/>
          </w:tcPr>
          <w:p w14:paraId="7A043C1C" w14:textId="60ECFF33" w:rsidR="0089606D" w:rsidRDefault="0001475A">
            <w:pPr>
              <w:pStyle w:val="TableParagraph"/>
              <w:spacing w:line="232" w:lineRule="exact"/>
              <w:ind w:left="526"/>
              <w:rPr>
                <w:b/>
              </w:rPr>
            </w:pPr>
            <w:r w:rsidRPr="0001475A">
              <w:rPr>
                <w:b/>
                <w:highlight w:val="yellow"/>
                <w:u w:val="thick"/>
              </w:rPr>
              <w:t>Segment</w:t>
            </w:r>
            <w:r w:rsidR="003B2117">
              <w:rPr>
                <w:b/>
                <w:u w:val="thick"/>
              </w:rPr>
              <w:t xml:space="preserve"> 2: </w:t>
            </w:r>
            <w:r w:rsidRPr="0001475A">
              <w:rPr>
                <w:b/>
                <w:highlight w:val="yellow"/>
                <w:u w:val="thick"/>
              </w:rPr>
              <w:t>Piece</w:t>
            </w:r>
            <w:r w:rsidR="003B2117">
              <w:rPr>
                <w:b/>
                <w:u w:val="thick"/>
              </w:rPr>
              <w:t xml:space="preserve"> 1</w:t>
            </w:r>
          </w:p>
        </w:tc>
      </w:tr>
      <w:tr w:rsidR="0089606D" w14:paraId="58F384E9" w14:textId="77777777">
        <w:trPr>
          <w:trHeight w:val="254"/>
        </w:trPr>
        <w:tc>
          <w:tcPr>
            <w:tcW w:w="2176" w:type="dxa"/>
          </w:tcPr>
          <w:p w14:paraId="2CF2D6D1" w14:textId="79AAB0B6" w:rsidR="0089606D" w:rsidRDefault="0001475A">
            <w:pPr>
              <w:pStyle w:val="TableParagraph"/>
              <w:spacing w:line="234" w:lineRule="exact"/>
              <w:ind w:left="50"/>
            </w:pPr>
            <w:r w:rsidRPr="0001475A">
              <w:rPr>
                <w:highlight w:val="yellow"/>
              </w:rPr>
              <w:t>Description</w:t>
            </w:r>
            <w:r w:rsidR="003B2117">
              <w:t xml:space="preserve"> of </w:t>
            </w:r>
            <w:r w:rsidRPr="0001475A">
              <w:rPr>
                <w:highlight w:val="yellow"/>
              </w:rPr>
              <w:t>piece</w:t>
            </w:r>
            <w:r w:rsidR="003B2117">
              <w:t xml:space="preserve"> 1</w:t>
            </w:r>
          </w:p>
        </w:tc>
        <w:tc>
          <w:tcPr>
            <w:tcW w:w="4394" w:type="dxa"/>
          </w:tcPr>
          <w:p w14:paraId="7B27D9F4" w14:textId="748435D9" w:rsidR="0089606D" w:rsidRDefault="0001475A">
            <w:pPr>
              <w:pStyle w:val="TableParagraph"/>
              <w:spacing w:line="234" w:lineRule="exact"/>
              <w:ind w:left="600"/>
            </w:pPr>
            <w:r w:rsidRPr="0001475A">
              <w:rPr>
                <w:highlight w:val="yellow"/>
              </w:rPr>
              <w:t>Piece</w:t>
            </w:r>
            <w:r w:rsidR="003B2117">
              <w:t xml:space="preserve"> 2: </w:t>
            </w:r>
            <w:r w:rsidR="00EF0CFD" w:rsidRPr="00EF0CFD">
              <w:rPr>
                <w:highlight w:val="yellow"/>
              </w:rPr>
              <w:t>Duties</w:t>
            </w:r>
            <w:r w:rsidR="003B2117">
              <w:t xml:space="preserve"> </w:t>
            </w:r>
            <w:r w:rsidRPr="0001475A">
              <w:rPr>
                <w:highlight w:val="yellow"/>
              </w:rPr>
              <w:t>entrance</w:t>
            </w:r>
            <w:r w:rsidR="003B2117">
              <w:t xml:space="preserve"> </w:t>
            </w:r>
            <w:proofErr w:type="spellStart"/>
            <w:r w:rsidR="00713685" w:rsidRPr="00713685">
              <w:rPr>
                <w:highlight w:val="yellow"/>
              </w:rPr>
              <w:t>misdemeanour</w:t>
            </w:r>
            <w:proofErr w:type="spellEnd"/>
          </w:p>
        </w:tc>
        <w:tc>
          <w:tcPr>
            <w:tcW w:w="2657" w:type="dxa"/>
          </w:tcPr>
          <w:p w14:paraId="42E1512A" w14:textId="5F4EF85D" w:rsidR="0089606D" w:rsidRDefault="003B2117">
            <w:pPr>
              <w:pStyle w:val="TableParagraph"/>
              <w:spacing w:line="234" w:lineRule="exact"/>
              <w:ind w:left="526"/>
            </w:pPr>
            <w:r w:rsidRPr="003B2117">
              <w:rPr>
                <w:highlight w:val="yellow"/>
              </w:rPr>
              <w:t>Class</w:t>
            </w:r>
            <w:r>
              <w:t xml:space="preserve"> 4 to the </w:t>
            </w:r>
            <w:r w:rsidR="00EF0CFD" w:rsidRPr="00EF0CFD">
              <w:rPr>
                <w:highlight w:val="yellow"/>
              </w:rPr>
              <w:t>Duties</w:t>
            </w:r>
            <w:r>
              <w:t xml:space="preserve"> </w:t>
            </w:r>
            <w:proofErr w:type="spellStart"/>
            <w:r w:rsidR="00713685" w:rsidRPr="00713685">
              <w:t>Duties</w:t>
            </w:r>
            <w:proofErr w:type="spellEnd"/>
            <w:r>
              <w:t xml:space="preserve"> Act 1995</w:t>
            </w:r>
          </w:p>
        </w:tc>
      </w:tr>
      <w:tr w:rsidR="0089606D" w14:paraId="77098180" w14:textId="77777777">
        <w:trPr>
          <w:trHeight w:val="632"/>
        </w:trPr>
        <w:tc>
          <w:tcPr>
            <w:tcW w:w="2176" w:type="dxa"/>
          </w:tcPr>
          <w:p w14:paraId="113EB185" w14:textId="4A029957" w:rsidR="0089606D" w:rsidRDefault="0001475A">
            <w:pPr>
              <w:pStyle w:val="TableParagraph"/>
              <w:spacing w:line="242" w:lineRule="auto"/>
              <w:ind w:left="50" w:right="577"/>
            </w:pPr>
            <w:r w:rsidRPr="0001475A">
              <w:rPr>
                <w:highlight w:val="yellow"/>
              </w:rPr>
              <w:t>Piece</w:t>
            </w:r>
            <w:r w:rsidR="003B2117">
              <w:t xml:space="preserve"> 3: </w:t>
            </w:r>
            <w:r w:rsidR="00EF0CFD" w:rsidRPr="00EF0CFD">
              <w:rPr>
                <w:highlight w:val="yellow"/>
              </w:rPr>
              <w:t>Duties</w:t>
            </w:r>
            <w:r w:rsidR="003B2117">
              <w:t xml:space="preserve"> </w:t>
            </w:r>
            <w:r w:rsidRPr="0001475A">
              <w:rPr>
                <w:highlight w:val="yellow"/>
              </w:rPr>
              <w:t>entrance</w:t>
            </w:r>
            <w:r>
              <w:t xml:space="preserve"> </w:t>
            </w:r>
            <w:r w:rsidR="00EF0CFD" w:rsidRPr="00EF0CFD">
              <w:rPr>
                <w:highlight w:val="yellow"/>
              </w:rPr>
              <w:t>Duties</w:t>
            </w:r>
            <w:r w:rsidR="003B2117">
              <w:t xml:space="preserve"> </w:t>
            </w:r>
            <w:r w:rsidR="00713685" w:rsidRPr="00713685">
              <w:rPr>
                <w:highlight w:val="yellow"/>
              </w:rPr>
              <w:t>levy</w:t>
            </w:r>
          </w:p>
        </w:tc>
        <w:tc>
          <w:tcPr>
            <w:tcW w:w="4394" w:type="dxa"/>
          </w:tcPr>
          <w:p w14:paraId="2D2CEABF" w14:textId="77777777" w:rsidR="0089606D" w:rsidRDefault="0089606D">
            <w:pPr>
              <w:pStyle w:val="TableParagraph"/>
              <w:spacing w:before="9"/>
              <w:rPr>
                <w:sz w:val="21"/>
              </w:rPr>
            </w:pPr>
          </w:p>
          <w:p w14:paraId="2F367A67" w14:textId="1BD95A3E" w:rsidR="0089606D" w:rsidRDefault="003B2117">
            <w:pPr>
              <w:pStyle w:val="TableParagraph"/>
              <w:ind w:left="600"/>
            </w:pPr>
            <w:r w:rsidRPr="003B2117">
              <w:rPr>
                <w:highlight w:val="yellow"/>
              </w:rPr>
              <w:t>Class</w:t>
            </w:r>
            <w:r>
              <w:t xml:space="preserve"> 5: </w:t>
            </w:r>
            <w:r w:rsidR="00EF0CFD" w:rsidRPr="00EF0CFD">
              <w:rPr>
                <w:highlight w:val="yellow"/>
              </w:rPr>
              <w:t>Duties</w:t>
            </w:r>
            <w:r>
              <w:t xml:space="preserve"> </w:t>
            </w:r>
            <w:r w:rsidR="00713685" w:rsidRPr="00713685">
              <w:rPr>
                <w:highlight w:val="yellow"/>
              </w:rPr>
              <w:t>levy</w:t>
            </w:r>
            <w:r>
              <w:t xml:space="preserve"> rate</w:t>
            </w:r>
          </w:p>
        </w:tc>
        <w:tc>
          <w:tcPr>
            <w:tcW w:w="2657" w:type="dxa"/>
          </w:tcPr>
          <w:p w14:paraId="5802932A" w14:textId="77777777" w:rsidR="0089606D" w:rsidRDefault="0089606D">
            <w:pPr>
              <w:pStyle w:val="TableParagraph"/>
              <w:spacing w:before="9"/>
              <w:rPr>
                <w:sz w:val="21"/>
              </w:rPr>
            </w:pPr>
          </w:p>
          <w:p w14:paraId="75D4929D" w14:textId="32AF2C77" w:rsidR="0089606D" w:rsidRDefault="003B2117">
            <w:pPr>
              <w:pStyle w:val="TableParagraph"/>
              <w:ind w:left="526"/>
            </w:pPr>
            <w:r w:rsidRPr="003B2117">
              <w:rPr>
                <w:highlight w:val="yellow"/>
              </w:rPr>
              <w:t>Class</w:t>
            </w:r>
            <w:r>
              <w:t xml:space="preserve"> 6: </w:t>
            </w:r>
            <w:r w:rsidR="0001475A" w:rsidRPr="0001475A">
              <w:rPr>
                <w:highlight w:val="yellow"/>
              </w:rPr>
              <w:t>Piece</w:t>
            </w:r>
            <w:r>
              <w:t xml:space="preserve"> 6B</w:t>
            </w:r>
          </w:p>
        </w:tc>
      </w:tr>
      <w:tr w:rsidR="0089606D" w14:paraId="28557B1B" w14:textId="77777777">
        <w:trPr>
          <w:trHeight w:val="759"/>
        </w:trPr>
        <w:tc>
          <w:tcPr>
            <w:tcW w:w="2176" w:type="dxa"/>
          </w:tcPr>
          <w:p w14:paraId="42B9FE11" w14:textId="77777777" w:rsidR="0089606D" w:rsidRDefault="008960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4" w:type="dxa"/>
          </w:tcPr>
          <w:p w14:paraId="7454A1AC" w14:textId="6FB3AC6D" w:rsidR="0089606D" w:rsidRDefault="0001475A">
            <w:pPr>
              <w:pStyle w:val="TableParagraph"/>
              <w:spacing w:before="122"/>
              <w:ind w:left="601" w:right="1852"/>
            </w:pPr>
            <w:r w:rsidRPr="0001475A">
              <w:rPr>
                <w:highlight w:val="yellow"/>
              </w:rPr>
              <w:t>Piece</w:t>
            </w:r>
            <w:r w:rsidR="003B2117">
              <w:t xml:space="preserve"> 7: </w:t>
            </w:r>
            <w:r w:rsidR="00713685" w:rsidRPr="00713685">
              <w:rPr>
                <w:highlight w:val="yellow"/>
              </w:rPr>
              <w:t>Segment</w:t>
            </w:r>
            <w:r w:rsidR="003B2117">
              <w:t xml:space="preserve"> 6C</w:t>
            </w:r>
          </w:p>
        </w:tc>
        <w:tc>
          <w:tcPr>
            <w:tcW w:w="2657" w:type="dxa"/>
          </w:tcPr>
          <w:p w14:paraId="6DCB38F8" w14:textId="36B56224" w:rsidR="0089606D" w:rsidRDefault="003B2117">
            <w:pPr>
              <w:pStyle w:val="TableParagraph"/>
              <w:spacing w:before="122"/>
              <w:ind w:left="527" w:right="827" w:hanging="1"/>
            </w:pPr>
            <w:r w:rsidRPr="003B2117">
              <w:rPr>
                <w:highlight w:val="yellow"/>
              </w:rPr>
              <w:t>Class</w:t>
            </w:r>
            <w:r>
              <w:t xml:space="preserve"> 7: </w:t>
            </w:r>
            <w:r w:rsidRPr="003B2117">
              <w:rPr>
                <w:highlight w:val="yellow"/>
              </w:rPr>
              <w:t>Class</w:t>
            </w:r>
            <w:r>
              <w:t xml:space="preserve"> 8:</w:t>
            </w:r>
          </w:p>
        </w:tc>
      </w:tr>
      <w:tr w:rsidR="0089606D" w14:paraId="0C118F58" w14:textId="77777777">
        <w:trPr>
          <w:trHeight w:val="505"/>
        </w:trPr>
        <w:tc>
          <w:tcPr>
            <w:tcW w:w="2176" w:type="dxa"/>
          </w:tcPr>
          <w:p w14:paraId="72607BC5" w14:textId="77777777" w:rsidR="0089606D" w:rsidRDefault="008960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4" w:type="dxa"/>
          </w:tcPr>
          <w:p w14:paraId="7A7920E9" w14:textId="22DF5480" w:rsidR="0089606D" w:rsidRDefault="003B2117">
            <w:pPr>
              <w:pStyle w:val="TableParagraph"/>
              <w:spacing w:before="123"/>
              <w:ind w:left="601"/>
            </w:pPr>
            <w:r w:rsidRPr="003B2117">
              <w:rPr>
                <w:highlight w:val="yellow"/>
              </w:rPr>
              <w:t>Class</w:t>
            </w:r>
            <w:r>
              <w:t xml:space="preserve"> 9:</w:t>
            </w:r>
          </w:p>
        </w:tc>
        <w:tc>
          <w:tcPr>
            <w:tcW w:w="2657" w:type="dxa"/>
          </w:tcPr>
          <w:p w14:paraId="13F07DAA" w14:textId="1C124E4D" w:rsidR="0089606D" w:rsidRDefault="0001475A">
            <w:pPr>
              <w:pStyle w:val="TableParagraph"/>
              <w:spacing w:before="123"/>
              <w:ind w:left="527"/>
            </w:pPr>
            <w:r w:rsidRPr="0001475A">
              <w:rPr>
                <w:highlight w:val="yellow"/>
              </w:rPr>
              <w:t>Piece</w:t>
            </w:r>
            <w:r w:rsidR="003B2117">
              <w:t xml:space="preserve"> 10:</w:t>
            </w:r>
          </w:p>
        </w:tc>
      </w:tr>
      <w:tr w:rsidR="0089606D" w14:paraId="31D4B3BC" w14:textId="77777777">
        <w:trPr>
          <w:trHeight w:val="1770"/>
        </w:trPr>
        <w:tc>
          <w:tcPr>
            <w:tcW w:w="2176" w:type="dxa"/>
          </w:tcPr>
          <w:p w14:paraId="18B4D95F" w14:textId="77777777" w:rsidR="0089606D" w:rsidRDefault="008960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4" w:type="dxa"/>
          </w:tcPr>
          <w:p w14:paraId="6D03C00A" w14:textId="77777777" w:rsidR="0089606D" w:rsidRDefault="003B2117">
            <w:pPr>
              <w:pStyle w:val="TableParagraph"/>
              <w:spacing w:before="122"/>
              <w:ind w:left="600" w:right="1915"/>
            </w:pPr>
            <w:r>
              <w:rPr>
                <w:u w:val="single"/>
              </w:rPr>
              <w:t>subheading 10.21(1)(b)</w:t>
            </w:r>
          </w:p>
        </w:tc>
        <w:tc>
          <w:tcPr>
            <w:tcW w:w="2657" w:type="dxa"/>
          </w:tcPr>
          <w:p w14:paraId="43EB381E" w14:textId="0F12C284" w:rsidR="0089606D" w:rsidRDefault="0001475A">
            <w:pPr>
              <w:pStyle w:val="TableParagraph"/>
              <w:spacing w:before="122"/>
              <w:ind w:left="526" w:right="252"/>
            </w:pPr>
            <w:r w:rsidRPr="0001475A">
              <w:rPr>
                <w:highlight w:val="yellow"/>
              </w:rPr>
              <w:t>Piece</w:t>
            </w:r>
            <w:r w:rsidR="003B2117">
              <w:t xml:space="preserve"> 12: </w:t>
            </w:r>
            <w:r w:rsidRPr="0001475A">
              <w:rPr>
                <w:highlight w:val="yellow"/>
              </w:rPr>
              <w:t>Stock</w:t>
            </w:r>
            <w:r>
              <w:t xml:space="preserve"> </w:t>
            </w:r>
            <w:r w:rsidR="003B2117">
              <w:t xml:space="preserve">included in the class of </w:t>
            </w:r>
            <w:r w:rsidR="00713685" w:rsidRPr="00713685">
              <w:rPr>
                <w:highlight w:val="yellow"/>
              </w:rPr>
              <w:t>stocks</w:t>
            </w:r>
            <w:r w:rsidR="003B2117">
              <w:t xml:space="preserve"> prescribed for the purposes of section 4 of the </w:t>
            </w:r>
            <w:r w:rsidR="00EF0CFD" w:rsidRPr="00EF0CFD">
              <w:rPr>
                <w:highlight w:val="yellow"/>
              </w:rPr>
              <w:t>Duties</w:t>
            </w:r>
            <w:r w:rsidR="003B2117">
              <w:t xml:space="preserve"> </w:t>
            </w:r>
            <w:r w:rsidR="003B2117">
              <w:t>Act 1995</w:t>
            </w:r>
          </w:p>
        </w:tc>
      </w:tr>
      <w:tr w:rsidR="0089606D" w14:paraId="1E7ED43D" w14:textId="77777777">
        <w:trPr>
          <w:trHeight w:val="906"/>
        </w:trPr>
        <w:tc>
          <w:tcPr>
            <w:tcW w:w="2176" w:type="dxa"/>
          </w:tcPr>
          <w:p w14:paraId="48000F29" w14:textId="77777777" w:rsidR="0089606D" w:rsidRDefault="008960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4" w:type="dxa"/>
          </w:tcPr>
          <w:p w14:paraId="455265E5" w14:textId="130DF6F0" w:rsidR="0089606D" w:rsidRDefault="0001475A">
            <w:pPr>
              <w:pStyle w:val="TableParagraph"/>
              <w:spacing w:before="123"/>
              <w:ind w:left="600" w:right="2184"/>
            </w:pPr>
            <w:r w:rsidRPr="0001475A">
              <w:rPr>
                <w:highlight w:val="yellow"/>
                <w:u w:val="single"/>
              </w:rPr>
              <w:t>Piece</w:t>
            </w:r>
            <w:r w:rsidR="003B2117">
              <w:rPr>
                <w:u w:val="single"/>
              </w:rPr>
              <w:t xml:space="preserve"> 14: </w:t>
            </w:r>
            <w:r w:rsidR="00EF0CFD" w:rsidRPr="00EF0CFD">
              <w:rPr>
                <w:highlight w:val="yellow"/>
                <w:u w:val="single"/>
              </w:rPr>
              <w:t>Duties</w:t>
            </w:r>
            <w:r w:rsidR="003B2117">
              <w:rPr>
                <w:u w:val="single"/>
              </w:rPr>
              <w:t xml:space="preserve"> </w:t>
            </w:r>
            <w:r w:rsidR="00713685" w:rsidRPr="00713685">
              <w:rPr>
                <w:highlight w:val="yellow"/>
                <w:u w:val="single"/>
              </w:rPr>
              <w:t>levy</w:t>
            </w:r>
            <w:r w:rsidR="003B2117">
              <w:rPr>
                <w:u w:val="single"/>
              </w:rPr>
              <w:t xml:space="preserve"> rate</w:t>
            </w:r>
          </w:p>
        </w:tc>
        <w:tc>
          <w:tcPr>
            <w:tcW w:w="2657" w:type="dxa"/>
          </w:tcPr>
          <w:p w14:paraId="051BDF68" w14:textId="6388117A" w:rsidR="0089606D" w:rsidRDefault="0001475A">
            <w:pPr>
              <w:pStyle w:val="TableParagraph"/>
              <w:spacing w:before="123"/>
              <w:ind w:left="526" w:right="521"/>
            </w:pPr>
            <w:r w:rsidRPr="0001475A">
              <w:rPr>
                <w:highlight w:val="yellow"/>
              </w:rPr>
              <w:t>Piece</w:t>
            </w:r>
            <w:r w:rsidR="003B2117">
              <w:t xml:space="preserve"> 15: </w:t>
            </w:r>
            <w:r w:rsidR="003B2117" w:rsidRPr="003B2117">
              <w:rPr>
                <w:highlight w:val="yellow"/>
              </w:rPr>
              <w:t>Class</w:t>
            </w:r>
            <w:r w:rsidR="003B2117">
              <w:t xml:space="preserve"> 9</w:t>
            </w:r>
          </w:p>
          <w:p w14:paraId="19564AC3" w14:textId="33394239" w:rsidR="0089606D" w:rsidRDefault="0001475A">
            <w:pPr>
              <w:pStyle w:val="TableParagraph"/>
              <w:spacing w:before="1" w:line="256" w:lineRule="exact"/>
              <w:ind w:left="526"/>
              <w:rPr>
                <w:sz w:val="24"/>
              </w:rPr>
            </w:pPr>
            <w:r w:rsidRPr="0001475A">
              <w:rPr>
                <w:sz w:val="24"/>
                <w:highlight w:val="yellow"/>
              </w:rPr>
              <w:t>Piece</w:t>
            </w:r>
            <w:r w:rsidR="003B2117">
              <w:rPr>
                <w:sz w:val="24"/>
              </w:rPr>
              <w:t xml:space="preserve"> 16:</w:t>
            </w:r>
          </w:p>
        </w:tc>
      </w:tr>
    </w:tbl>
    <w:p w14:paraId="02A0E0E3" w14:textId="77777777" w:rsidR="0089606D" w:rsidRDefault="0089606D">
      <w:pPr>
        <w:pStyle w:val="BodyText"/>
        <w:rPr>
          <w:sz w:val="20"/>
        </w:rPr>
      </w:pPr>
    </w:p>
    <w:p w14:paraId="70E004D5" w14:textId="77777777" w:rsidR="0089606D" w:rsidRDefault="0089606D">
      <w:pPr>
        <w:pStyle w:val="BodyText"/>
        <w:rPr>
          <w:sz w:val="20"/>
        </w:rPr>
      </w:pPr>
    </w:p>
    <w:p w14:paraId="5D264B34" w14:textId="77777777" w:rsidR="0089606D" w:rsidRDefault="0089606D">
      <w:pPr>
        <w:pStyle w:val="BodyText"/>
        <w:spacing w:before="10"/>
        <w:rPr>
          <w:sz w:val="21"/>
        </w:rPr>
      </w:pPr>
    </w:p>
    <w:p w14:paraId="211FE2FC" w14:textId="22457255" w:rsidR="0089606D" w:rsidRDefault="003B2117">
      <w:pPr>
        <w:pStyle w:val="BodyText"/>
        <w:spacing w:before="92"/>
        <w:ind w:left="150" w:right="583"/>
      </w:pPr>
      <w:r>
        <w:t xml:space="preserve">Any </w:t>
      </w:r>
      <w:r w:rsidRPr="003B2117">
        <w:rPr>
          <w:highlight w:val="yellow"/>
        </w:rPr>
        <w:t>individual</w:t>
      </w:r>
      <w:r>
        <w:t xml:space="preserve"> wishing to make written representation </w:t>
      </w:r>
      <w:r w:rsidRPr="003B2117">
        <w:rPr>
          <w:highlight w:val="yellow"/>
        </w:rPr>
        <w:t>relating to</w:t>
      </w:r>
      <w:r>
        <w:t xml:space="preserve"> </w:t>
      </w:r>
      <w:r>
        <w:t xml:space="preserve">any of the </w:t>
      </w:r>
      <w:r w:rsidRPr="003B2117">
        <w:rPr>
          <w:highlight w:val="yellow"/>
        </w:rPr>
        <w:t>applying parties</w:t>
      </w:r>
      <w:r>
        <w:t xml:space="preserve"> should address the correspondence by Tuesday 21 October 2002 to:</w:t>
      </w:r>
    </w:p>
    <w:p w14:paraId="5F538FE6" w14:textId="77777777" w:rsidR="0089606D" w:rsidRDefault="0089606D">
      <w:pPr>
        <w:pStyle w:val="BodyText"/>
      </w:pPr>
    </w:p>
    <w:p w14:paraId="23C446CB" w14:textId="2CFC393F" w:rsidR="0089606D" w:rsidRDefault="00713685">
      <w:pPr>
        <w:pStyle w:val="BodyText"/>
        <w:ind w:left="716"/>
      </w:pPr>
      <w:r w:rsidRPr="00713685">
        <w:rPr>
          <w:highlight w:val="yellow"/>
        </w:rPr>
        <w:t>Agent</w:t>
      </w:r>
      <w:r w:rsidR="003B2117">
        <w:t xml:space="preserve"> Licensing</w:t>
      </w:r>
    </w:p>
    <w:p w14:paraId="3BDCA43A" w14:textId="431D6AD5" w:rsidR="0089606D" w:rsidRDefault="003B2117">
      <w:pPr>
        <w:pStyle w:val="BodyText"/>
        <w:tabs>
          <w:tab w:val="left" w:pos="6476"/>
        </w:tabs>
        <w:ind w:left="716"/>
      </w:pPr>
      <w:r>
        <w:t xml:space="preserve">Australian </w:t>
      </w:r>
      <w:r w:rsidR="00EF0CFD" w:rsidRPr="00EF0CFD">
        <w:rPr>
          <w:highlight w:val="yellow"/>
        </w:rPr>
        <w:t>Duties</w:t>
      </w:r>
      <w:r>
        <w:t xml:space="preserve"> Service 5 Constitution Avenue</w:t>
      </w:r>
    </w:p>
    <w:p w14:paraId="1A950DAE" w14:textId="4B7EAC3D" w:rsidR="0089606D" w:rsidRDefault="003B2117">
      <w:pPr>
        <w:pStyle w:val="BodyText"/>
        <w:tabs>
          <w:tab w:val="left" w:pos="6476"/>
        </w:tabs>
        <w:ind w:left="716" w:right="1552"/>
      </w:pPr>
      <w:r>
        <w:t>CANBERRA ACT 2601</w:t>
      </w:r>
      <w:hyperlink r:id="rId5">
        <w:r w:rsidR="00713685" w:rsidRPr="00713685">
          <w:rPr>
            <w:spacing w:val="-1"/>
            <w:highlight w:val="yellow"/>
            <w:u w:val="single"/>
          </w:rPr>
          <w:t>Agent</w:t>
        </w:r>
        <w:r>
          <w:rPr>
            <w:spacing w:val="-1"/>
            <w:u w:val="single"/>
          </w:rPr>
          <w:t>s.licensing@homeaffairs.gov.au</w:t>
        </w:r>
      </w:hyperlink>
    </w:p>
    <w:p w14:paraId="633A800F" w14:textId="77777777" w:rsidR="0089606D" w:rsidRDefault="0089606D">
      <w:pPr>
        <w:pStyle w:val="BodyText"/>
      </w:pPr>
    </w:p>
    <w:p w14:paraId="564FB3F6" w14:textId="7290D8DE" w:rsidR="0089606D" w:rsidRDefault="003B2117">
      <w:pPr>
        <w:pStyle w:val="BodyText"/>
        <w:ind w:left="150" w:right="704"/>
      </w:pPr>
      <w:r>
        <w:t xml:space="preserve">By 15 October 2002, </w:t>
      </w:r>
      <w:r w:rsidR="00713685" w:rsidRPr="00713685">
        <w:rPr>
          <w:highlight w:val="yellow"/>
        </w:rPr>
        <w:t>Agent</w:t>
      </w:r>
      <w:r>
        <w:t xml:space="preserve">s are </w:t>
      </w:r>
      <w:r w:rsidR="00713685" w:rsidRPr="00713685">
        <w:rPr>
          <w:highlight w:val="yellow"/>
        </w:rPr>
        <w:t>obligated</w:t>
      </w:r>
      <w:r>
        <w:t xml:space="preserve"> to lodge </w:t>
      </w:r>
      <w:r w:rsidR="00713685" w:rsidRPr="00713685">
        <w:t>Duties</w:t>
      </w:r>
      <w:r>
        <w:t xml:space="preserve"> Concessions (TCs) for </w:t>
      </w:r>
      <w:r w:rsidR="00713685" w:rsidRPr="00713685">
        <w:rPr>
          <w:highlight w:val="yellow"/>
        </w:rPr>
        <w:t>stocks</w:t>
      </w:r>
      <w:r>
        <w:t xml:space="preserve"> imported on or after 20 November 2002 and on import entries under Section 77C or 77D of the</w:t>
      </w:r>
      <w:r>
        <w:t xml:space="preserve"> </w:t>
      </w:r>
      <w:r w:rsidR="00EF0CFD" w:rsidRPr="00EF0CFD">
        <w:rPr>
          <w:highlight w:val="yellow"/>
        </w:rPr>
        <w:t>Duties</w:t>
      </w:r>
      <w:r>
        <w:t xml:space="preserve"> Act 1901 that are lodged within the month before the close of business on that day. In the case of TCs that are lodged in the week immediately following a week-end </w:t>
      </w:r>
      <w:r w:rsidRPr="003B2117">
        <w:rPr>
          <w:highlight w:val="yellow"/>
        </w:rPr>
        <w:t>common</w:t>
      </w:r>
      <w:r>
        <w:t xml:space="preserve"> rate of </w:t>
      </w:r>
      <w:r w:rsidR="00713685" w:rsidRPr="00713685">
        <w:rPr>
          <w:highlight w:val="yellow"/>
        </w:rPr>
        <w:t>levy</w:t>
      </w:r>
      <w:r>
        <w:t xml:space="preserve"> increase, this week-end TC rate is applied. However, TCs lodge</w:t>
      </w:r>
      <w:r>
        <w:t xml:space="preserve">d on or after 20 November 2002 are unaffected by the </w:t>
      </w:r>
      <w:r w:rsidRPr="003B2117">
        <w:rPr>
          <w:highlight w:val="yellow"/>
        </w:rPr>
        <w:t>common</w:t>
      </w:r>
      <w:r>
        <w:t xml:space="preserve"> rate of </w:t>
      </w:r>
      <w:r w:rsidR="00713685" w:rsidRPr="00713685">
        <w:rPr>
          <w:highlight w:val="yellow"/>
        </w:rPr>
        <w:t>levy</w:t>
      </w:r>
      <w:r>
        <w:t xml:space="preserve"> increase.</w:t>
      </w:r>
    </w:p>
    <w:p w14:paraId="4AB7CF84" w14:textId="77777777" w:rsidR="0089606D" w:rsidRDefault="003B2117">
      <w:pPr>
        <w:pStyle w:val="BodyText"/>
        <w:spacing w:before="3" w:line="550" w:lineRule="atLeast"/>
        <w:ind w:left="150" w:right="10589"/>
      </w:pPr>
      <w:r>
        <w:t>Section 77B</w:t>
      </w:r>
    </w:p>
    <w:p w14:paraId="08A0CB0E" w14:textId="77777777" w:rsidR="0089606D" w:rsidRDefault="003B2117">
      <w:pPr>
        <w:pStyle w:val="BodyText"/>
        <w:spacing w:before="2"/>
        <w:ind w:left="150"/>
      </w:pPr>
      <w:r>
        <w:t>Section 77C</w:t>
      </w:r>
    </w:p>
    <w:p w14:paraId="1B9A923C" w14:textId="7C320638" w:rsidR="0089606D" w:rsidRDefault="00713685">
      <w:pPr>
        <w:pStyle w:val="BodyText"/>
        <w:ind w:left="150" w:right="7388"/>
      </w:pPr>
      <w:r w:rsidRPr="00713685">
        <w:rPr>
          <w:highlight w:val="yellow"/>
        </w:rPr>
        <w:t>Segment</w:t>
      </w:r>
      <w:r w:rsidR="003B2117">
        <w:t xml:space="preserve"> 2.1 of the </w:t>
      </w:r>
      <w:r w:rsidR="00EF0CFD" w:rsidRPr="00EF0CFD">
        <w:rPr>
          <w:highlight w:val="yellow"/>
        </w:rPr>
        <w:t>Duties</w:t>
      </w:r>
      <w:r w:rsidR="003B2117">
        <w:t xml:space="preserve"> Act 1901</w:t>
      </w:r>
    </w:p>
    <w:p w14:paraId="13E8B97A" w14:textId="77777777" w:rsidR="0089606D" w:rsidRDefault="0089606D">
      <w:pPr>
        <w:pStyle w:val="BodyText"/>
        <w:spacing w:before="11"/>
        <w:rPr>
          <w:sz w:val="23"/>
        </w:rPr>
      </w:pPr>
    </w:p>
    <w:p w14:paraId="62204134" w14:textId="16912DA3" w:rsidR="0089606D" w:rsidRDefault="003B2117">
      <w:pPr>
        <w:pStyle w:val="BodyText"/>
        <w:ind w:left="150"/>
      </w:pPr>
      <w:r w:rsidRPr="003B2117">
        <w:rPr>
          <w:highlight w:val="yellow"/>
        </w:rPr>
        <w:t>Common</w:t>
      </w:r>
      <w:r>
        <w:t xml:space="preserve"> </w:t>
      </w:r>
      <w:proofErr w:type="spellStart"/>
      <w:r w:rsidR="00713685" w:rsidRPr="00713685">
        <w:rPr>
          <w:highlight w:val="yellow"/>
        </w:rPr>
        <w:t>Misdemeanours</w:t>
      </w:r>
      <w:proofErr w:type="spellEnd"/>
    </w:p>
    <w:sectPr w:rsidR="0089606D">
      <w:type w:val="continuous"/>
      <w:pgSz w:w="16840" w:h="23820"/>
      <w:pgMar w:top="0" w:right="2420" w:bottom="280" w:left="2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6D"/>
    <w:rsid w:val="0001475A"/>
    <w:rsid w:val="002371ED"/>
    <w:rsid w:val="003B2117"/>
    <w:rsid w:val="00713685"/>
    <w:rsid w:val="0089606D"/>
    <w:rsid w:val="00E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70D"/>
  <w15:docId w15:val="{CA79BF59-BA53-4029-9310-B479CFA0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0"/>
      <w:ind w:left="731" w:right="605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okers.licensing@homeaffairs.gov.a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to identify the statistical code that must be used in computing the Customs duty rate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to identify the statistical code that must be used in computing the Customs duty rate</dc:title>
  <dc:subject/>
  <dc:creator>Statistical Code</dc:creator>
  <cp:keywords>Item 17:</cp:keywords>
  <dc:description/>
  <cp:lastModifiedBy>Roelien Christien Timmer</cp:lastModifiedBy>
  <cp:revision>4</cp:revision>
  <dcterms:created xsi:type="dcterms:W3CDTF">2021-02-07T02:44:00Z</dcterms:created>
  <dcterms:modified xsi:type="dcterms:W3CDTF">2021-02-07T03:09:00Z</dcterms:modified>
  <cp:category/>
  <dc:identifier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