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54048">
            <wp:simplePos x="0" y="0"/>
            <wp:positionH relativeFrom="page">
              <wp:posOffset>6986</wp:posOffset>
            </wp:positionH>
            <wp:positionV relativeFrom="page">
              <wp:posOffset>4572</wp:posOffset>
            </wp:positionV>
            <wp:extent cx="10685397" cy="2072511"/>
            <wp:effectExtent l="0" t="0" r="0" b="0"/>
            <wp:wrapNone/>
            <wp:docPr id="1" name="image1.jpeg" descr="Australian Government Department of Home Affairs logo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5397" cy="2072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b w:val="0"/>
          <w:i w:val="0"/>
          <w:color w:val="034EA2"/>
          <w:spacing w:val="-6"/>
          <w:u w:val="none"/>
        </w:rPr>
        <w:t>Australian Customs Notice 1996 83</w:t>
      </w:r>
      <w:r>
        <w:rPr>
          <w:color w:val="034EA2"/>
        </w:rPr>
      </w:r>
      <w:r>
        <w:rPr>
          <w:color w:val="034EA2"/>
          <w:spacing w:val="-8"/>
        </w:rPr>
      </w:r>
      <w:r>
        <w:rPr>
          <w:color w:val="034EA2"/>
        </w:rPr>
      </w:r>
    </w:p>
    <w:p>
      <w:pPr>
        <w:spacing w:before="557"/>
        <w:ind w:left="687" w:right="605" w:firstLine="0"/>
        <w:jc w:val="center"/>
        <w:rPr>
          <w:b/>
          <w:sz w:val="40"/>
        </w:rPr>
      </w:pPr>
      <w:bookmarkStart w:name="Application for Customs Broker Licences" w:id="1"/>
      <w:bookmarkEnd w:id="1"/>
      <w:r>
        <w:rPr/>
      </w:r>
      <w:r>
        <w:rPr>
          <w:b/>
          <w:sz w:val="40"/>
        </w:rPr>
        <w:t>EXCISE TARIFF ACT 1921 - INTELLECTUAL PROPERTY</w:t>
      </w:r>
    </w:p>
    <w:p>
      <w:pPr>
        <w:pStyle w:val="BodyText"/>
        <w:spacing w:before="367"/>
        <w:ind w:left="110"/>
      </w:pPr>
      <w:bookmarkStart w:name="The following individuals have applied t" w:id="2"/>
      <w:bookmarkEnd w:id="2"/>
      <w:r>
        <w:rPr/>
      </w:r>
      <w:r>
        <w:rPr/>
        <w:t>This ACN supersedes ACN 96/19 of 15 June 1996 which provides for the payment of an excise duty for imports or exports of: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69"/>
        <w:ind w:left="960" w:right="0" w:firstLine="0"/>
        <w:jc w:val="left"/>
        <w:rPr>
          <w:b/>
          <w:sz w:val="22"/>
        </w:rPr>
      </w:pPr>
      <w:r>
        <w:rPr>
          <w:b/>
          <w:sz w:val="22"/>
        </w:rPr>
        <w:t>imported vehicles;</w:t>
      </w:r>
    </w:p>
    <w:p>
      <w:pPr>
        <w:spacing w:before="2"/>
        <w:ind w:left="960" w:right="9449" w:firstLine="0"/>
        <w:jc w:val="left"/>
        <w:rPr>
          <w:sz w:val="22"/>
        </w:rPr>
      </w:pPr>
      <w:r>
        <w:rPr>
          <w:sz w:val="22"/>
        </w:rPr>
        <w:t>tractors and machines (except machinery for oil and gas exploration or mining operations);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8"/>
        <w:ind w:left="110" w:right="583"/>
      </w:pPr>
      <w:r>
        <w:rPr/>
        <w:t>stereotype of cars and trucks used in the transportation of petroleum or natural gas;</w:t>
      </w:r>
    </w:p>
    <w:p>
      <w:pPr>
        <w:pStyle w:val="BodyText"/>
      </w:pPr>
    </w:p>
    <w:p>
      <w:pPr>
        <w:pStyle w:val="BodyText"/>
        <w:ind w:left="676"/>
      </w:pPr>
      <w:r>
        <w:rPr/>
        <w:t>all other goods.</w:t>
      </w:r>
    </w:p>
    <w:p>
      <w:pPr>
        <w:pStyle w:val="BodyText"/>
        <w:tabs>
          <w:tab w:pos="6436" w:val="left" w:leader="none"/>
        </w:tabs>
        <w:ind w:left="676"/>
      </w:pPr>
      <w:r>
        <w:rPr>
          <w:b w:val="0"/>
          <w:i w:val="0"/>
          <w:u w:val="none"/>
        </w:rPr>
        <w:t>This notice replaces ACN 96/19.</w:t>
      </w:r>
      <w:r>
        <w:rPr>
          <w:spacing w:val="-6"/>
        </w:rPr>
      </w:r>
      <w:r>
        <w:rPr/>
      </w:r>
      <w:r>
        <w:rPr>
          <w:spacing w:val="-1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6436" w:val="left" w:leader="none"/>
        </w:tabs>
        <w:ind w:left="676" w:right="1552"/>
      </w:pPr>
      <w:r>
        <w:rPr>
          <w:b w:val="0"/>
          <w:i w:val="0"/>
          <w:u w:val="none"/>
        </w:rPr>
        <w:t>To be taxable in Hong Kong the goods referred to in column 1 must be imported:</w:t>
      </w:r>
      <w:r>
        <w:rPr>
          <w:spacing w:val="-2"/>
        </w:rPr>
      </w:r>
      <w:r>
        <w:rPr/>
      </w:r>
      <w:r>
        <w:rPr>
          <w:spacing w:val="-4"/>
        </w:rPr>
      </w:r>
      <w:r>
        <w:rPr/>
      </w:r>
      <w:hyperlink r:id="rId6">
        <w:r>
          <w:rPr>
            <w:spacing w:val="-1"/>
            <w:u w:val="single"/>
          </w:rPr>
          <w:t>brokers.licensing@homeaffairs.gov.au</w:t>
        </w:r>
      </w:hyperlink>
      <w:r>
        <w:rPr>
          <w:spacing w:val="-1"/>
        </w:rPr>
      </w:r>
      <w:r>
        <w:rPr/>
      </w:r>
    </w:p>
    <w:p>
      <w:pPr>
        <w:pStyle w:val="BodyText"/>
      </w:pPr>
    </w:p>
    <w:p>
      <w:pPr>
        <w:pStyle w:val="BodyText"/>
        <w:ind w:left="110" w:right="704"/>
      </w:pPr>
      <w:r>
        <w:rPr/>
        <w:t>into Hong Kong from a place outside Hong Kong that is a place eligible to be a place of employment for Hong Kong residents within the meaning of Article 21 of the Charter of the United Nations and Article 3 of the Statute of the International Chamber of Commerce and Industry; or</w:t>
      </w:r>
    </w:p>
    <w:p>
      <w:pPr>
        <w:pStyle w:val="BodyText"/>
        <w:spacing w:line="550" w:lineRule="atLeast" w:before="2"/>
        <w:ind w:left="110" w:right="10589"/>
      </w:pPr>
      <w:r>
        <w:rPr/>
        <w:t>there from in Hong Kong; or</w:t>
      </w:r>
    </w:p>
    <w:p>
      <w:pPr>
        <w:pStyle w:val="BodyText"/>
        <w:spacing w:before="2"/>
        <w:ind w:left="110"/>
      </w:pPr>
      <w:r>
        <w:rPr/>
        <w:t>carrying the registered owner’s name.</w:t>
      </w:r>
    </w:p>
    <w:p>
      <w:pPr>
        <w:pStyle w:val="BodyText"/>
        <w:ind w:left="110" w:right="7388"/>
      </w:pPr>
      <w:r>
        <w:rPr/>
        <w:t>Goods must not be imported:</w:t>
      </w:r>
    </w:p>
    <w:p>
      <w:pPr>
        <w:pStyle w:val="BodyText"/>
      </w:pPr>
    </w:p>
    <w:p>
      <w:pPr>
        <w:pStyle w:val="BodyText"/>
        <w:ind w:left="110"/>
      </w:pPr>
      <w:r>
        <w:rPr/>
        <w:t>from outside Hong Kong; or</w:t>
      </w:r>
    </w:p>
    <w:sectPr>
      <w:type w:val="continuous"/>
      <w:pgSz w:w="16840" w:h="23820"/>
      <w:pgMar w:top="0" w:bottom="280" w:left="234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0"/>
      <w:ind w:left="691" w:right="605"/>
      <w:jc w:val="center"/>
    </w:pPr>
    <w:rPr>
      <w:rFonts w:ascii="Arial" w:hAnsi="Arial" w:eastAsia="Arial" w:cs="Arial"/>
      <w:b/>
      <w:bCs/>
      <w:sz w:val="66"/>
      <w:szCs w:val="6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homeaffairs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 Hong Kong unless it is clearly to be imported:</dc:creator>
  <cp:keywords>either:</cp:keywords>
  <dc:title>in the usual course of business; or</dc:title>
  <dcterms:created xsi:type="dcterms:W3CDTF">2020-12-09T22:44:18Z</dcterms:created>
  <dcterms:modified xsi:type="dcterms:W3CDTF">2020-12-09T22:44:18Z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2019-01-17T00:00:00Z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2020-12-09T00:00:00Z</vt:filetime>
  </property>
</Properties>
</file>